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0530" w:type="dxa"/>
        <w:jc w:val="left"/>
        <w:tblInd w:w="0" w:type="dxa"/>
        <w:tblBorders/>
        <w:tblCellMar>
          <w:top w:w="0" w:type="dxa"/>
          <w:left w:w="108" w:type="dxa"/>
          <w:bottom w:w="0" w:type="dxa"/>
          <w:right w:w="108" w:type="dxa"/>
        </w:tblCellMar>
        <w:tblLook w:val="0000" w:noVBand="0" w:noHBand="0" w:lastColumn="0" w:firstColumn="0" w:lastRow="0" w:firstRow="0"/>
      </w:tblPr>
      <w:tblGrid>
        <w:gridCol w:w="3508"/>
        <w:gridCol w:w="7021"/>
      </w:tblGrid>
      <w:tr>
        <w:trPr>
          <w:trHeight w:val="798" w:hRule="atLeast"/>
        </w:trPr>
        <w:tc>
          <w:tcPr>
            <w:tcW w:w="3508" w:type="dxa"/>
            <w:tcBorders/>
            <w:shd w:color="auto" w:fill="auto" w:val="clear"/>
          </w:tcPr>
          <w:p>
            <w:pPr>
              <w:pStyle w:val="Normal"/>
              <w:tabs>
                <w:tab w:val="left" w:pos="9720" w:leader="none"/>
              </w:tabs>
              <w:spacing w:before="0" w:after="200"/>
              <w:jc w:val="center"/>
              <w:rPr>
                <w:b/>
                <w:b/>
                <w:i/>
                <w:i/>
                <w:sz w:val="26"/>
                <w:szCs w:val="26"/>
              </w:rPr>
            </w:pPr>
            <w:r>
              <w:rPr>
                <w:b/>
                <w:i/>
                <w:sz w:val="26"/>
                <w:szCs w:val="26"/>
              </w:rPr>
            </w:r>
          </w:p>
        </w:tc>
        <w:tc>
          <w:tcPr>
            <w:tcW w:w="7021" w:type="dxa"/>
            <w:tcBorders/>
            <w:shd w:color="auto" w:fill="auto" w:val="clear"/>
          </w:tcPr>
          <w:p>
            <w:pPr>
              <w:pStyle w:val="Normal"/>
              <w:tabs>
                <w:tab w:val="left" w:pos="9720" w:leader="none"/>
              </w:tabs>
              <w:spacing w:before="0" w:after="0"/>
              <w:rPr>
                <w:b/>
                <w:b/>
                <w:i/>
                <w:i/>
                <w:sz w:val="26"/>
                <w:szCs w:val="26"/>
              </w:rPr>
            </w:pPr>
            <w:r>
              <w:rPr>
                <w:b/>
                <w:i/>
                <w:sz w:val="26"/>
                <w:szCs w:val="26"/>
              </w:rPr>
            </w:r>
          </w:p>
        </w:tc>
      </w:tr>
    </w:tbl>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tabs>
          <w:tab w:val="left" w:pos="2329" w:leader="none"/>
        </w:tabs>
        <w:rPr>
          <w:rFonts w:cs="Calibri"/>
          <w:b/>
          <w:b/>
        </w:rPr>
      </w:pPr>
      <w:r>
        <w:rPr>
          <w:rFonts w:cs="Calibri"/>
          <w:b/>
        </w:rPr>
      </w:r>
    </w:p>
    <w:p>
      <w:pPr>
        <w:pStyle w:val="Normal"/>
        <w:spacing w:lineRule="auto" w:line="240" w:before="0" w:after="0"/>
        <w:jc w:val="center"/>
        <w:rPr>
          <w:rFonts w:ascii="Times New Roman" w:hAnsi="Times New Roman" w:cs="Times New Roman"/>
          <w:b/>
          <w:b/>
          <w:sz w:val="24"/>
          <w:szCs w:val="26"/>
        </w:rPr>
      </w:pPr>
      <w:r>
        <w:rPr>
          <w:rFonts w:cs="Times New Roman" w:ascii="Times New Roman" w:hAnsi="Times New Roman"/>
          <w:b/>
          <w:sz w:val="24"/>
          <w:szCs w:val="26"/>
        </w:rPr>
        <w:t>Технические требования на выполнение работ</w:t>
      </w:r>
    </w:p>
    <w:p>
      <w:pPr>
        <w:pStyle w:val="Normal"/>
        <w:spacing w:lineRule="auto" w:line="240" w:before="0" w:after="0"/>
        <w:jc w:val="center"/>
        <w:rPr>
          <w:rFonts w:ascii="Times New Roman" w:hAnsi="Times New Roman" w:cs="Times New Roman"/>
          <w:b/>
          <w:b/>
          <w:sz w:val="24"/>
          <w:szCs w:val="26"/>
        </w:rPr>
      </w:pPr>
      <w:r>
        <w:rPr>
          <w:rFonts w:cs="Times New Roman" w:ascii="Times New Roman" w:hAnsi="Times New Roman"/>
          <w:b/>
          <w:sz w:val="24"/>
          <w:szCs w:val="26"/>
        </w:rPr>
      </w:r>
    </w:p>
    <w:p>
      <w:pPr>
        <w:pStyle w:val="Normal"/>
        <w:spacing w:lineRule="auto" w:line="240" w:before="0" w:after="0"/>
        <w:jc w:val="center"/>
        <w:rPr/>
      </w:pPr>
      <w:r>
        <w:rPr>
          <w:rFonts w:cs="Times New Roman" w:ascii="Times New Roman" w:hAnsi="Times New Roman"/>
          <w:b/>
          <w:bCs/>
          <w:i/>
          <w:sz w:val="24"/>
          <w:szCs w:val="24"/>
        </w:rPr>
        <w:t>«</w:t>
      </w:r>
      <w:bookmarkStart w:id="0" w:name="__DdeLink__1742_4272245518"/>
      <w:r>
        <w:rPr>
          <w:rFonts w:cs="Times New Roman" w:ascii="Times New Roman" w:hAnsi="Times New Roman"/>
          <w:b/>
          <w:bCs/>
          <w:i/>
          <w:sz w:val="24"/>
          <w:szCs w:val="24"/>
        </w:rPr>
        <w:t xml:space="preserve">ОКДП2 42.22.12.110 Выполнение проектных, строительно-монтажных работ для технологического присоединения к электрическим сетям заявителей </w:t>
      </w:r>
      <w:bookmarkEnd w:id="0"/>
      <w:r>
        <w:rPr>
          <w:rFonts w:cs="Times New Roman" w:ascii="Times New Roman" w:hAnsi="Times New Roman"/>
          <w:b/>
          <w:bCs/>
          <w:i/>
          <w:sz w:val="26"/>
          <w:szCs w:val="26"/>
        </w:rPr>
        <w:t>Администрация Шкотовского муниципального района в Приморском крае, Шкотовском р-не, с. Многоуд</w:t>
      </w:r>
      <w:bookmarkStart w:id="1" w:name="_GoBack1"/>
      <w:bookmarkEnd w:id="1"/>
      <w:r>
        <w:rPr>
          <w:rFonts w:cs="Times New Roman" w:ascii="Times New Roman" w:hAnsi="Times New Roman"/>
          <w:b/>
          <w:bCs/>
          <w:i/>
          <w:sz w:val="26"/>
          <w:szCs w:val="26"/>
        </w:rPr>
        <w:t>обное</w:t>
      </w:r>
      <w:r>
        <w:rPr>
          <w:rFonts w:cs="Times New Roman" w:ascii="Times New Roman" w:hAnsi="Times New Roman"/>
          <w:b/>
          <w:bCs/>
          <w:i/>
          <w:sz w:val="24"/>
          <w:szCs w:val="24"/>
        </w:rPr>
        <w:t xml:space="preserve">»;  </w:t>
      </w:r>
      <w:r>
        <w:rPr>
          <w:rFonts w:cs="Times New Roman" w:ascii="Times New Roman" w:hAnsi="Times New Roman"/>
          <w:b/>
          <w:bCs/>
          <w:i/>
          <w:sz w:val="26"/>
          <w:szCs w:val="26"/>
        </w:rPr>
        <w:t>Администрация Шкотовского муниципального района в Приморском крае, Шкотовском р-не, п. Подъяпольское</w:t>
      </w:r>
      <w:r>
        <w:rPr>
          <w:rFonts w:cs="Times New Roman" w:ascii="Times New Roman" w:hAnsi="Times New Roman"/>
          <w:b/>
          <w:bCs/>
          <w:i/>
          <w:sz w:val="24"/>
          <w:szCs w:val="24"/>
        </w:rPr>
        <w:t>»</w:t>
      </w:r>
    </w:p>
    <w:p>
      <w:pPr>
        <w:pStyle w:val="Normal"/>
        <w:spacing w:lineRule="auto" w:line="240" w:before="0" w:after="0"/>
        <w:jc w:val="center"/>
        <w:rPr>
          <w:rFonts w:ascii="Times New Roman" w:hAnsi="Times New Roman" w:cs="Times New Roman"/>
          <w:b/>
          <w:b/>
          <w:bCs/>
          <w:i/>
          <w:i/>
          <w:sz w:val="24"/>
          <w:szCs w:val="24"/>
        </w:rPr>
      </w:pPr>
      <w:r>
        <w:rPr>
          <w:rFonts w:cs="Times New Roman" w:ascii="Times New Roman" w:hAnsi="Times New Roman"/>
          <w:b/>
          <w:bCs/>
          <w:i/>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t>(</w:t>
      </w:r>
      <w:r>
        <w:rPr>
          <w:rFonts w:cs="Times New Roman" w:ascii="Times New Roman" w:hAnsi="Times New Roman"/>
          <w:b/>
          <w:bCs/>
          <w:smallCaps/>
          <w:color w:val="0070C0"/>
          <w:sz w:val="24"/>
          <w:szCs w:val="24"/>
        </w:rPr>
        <w:t xml:space="preserve">ЛОТ </w:t>
      </w:r>
      <w:r>
        <w:rPr>
          <w:rFonts w:cs="Times New Roman" w:ascii="Times New Roman" w:hAnsi="Times New Roman"/>
          <w:b/>
          <w:bCs/>
          <w:color w:val="0070C0"/>
          <w:sz w:val="24"/>
          <w:szCs w:val="24"/>
        </w:rPr>
        <w:t>№           -КС ПИР СМР-2026-ДРСК-ПЭС</w:t>
      </w:r>
      <w:r>
        <w:rPr>
          <w:rFonts w:cs="Times New Roman" w:ascii="Times New Roman" w:hAnsi="Times New Roman"/>
          <w:b/>
          <w:bCs/>
          <w:sz w:val="24"/>
          <w:szCs w:val="24"/>
        </w:rPr>
        <w:t>)</w:t>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Normal"/>
        <w:spacing w:before="0" w:after="0"/>
        <w:jc w:val="center"/>
        <w:rPr>
          <w:rFonts w:ascii="Times New Roman" w:hAnsi="Times New Roman" w:cs="Times New Roman"/>
          <w:b/>
          <w:b/>
          <w:bCs/>
          <w:sz w:val="24"/>
          <w:szCs w:val="24"/>
        </w:rPr>
      </w:pPr>
      <w:r>
        <w:rPr>
          <w:rFonts w:cs="Times New Roman" w:ascii="Times New Roman" w:hAnsi="Times New Roman"/>
          <w:b/>
          <w:bCs/>
          <w:sz w:val="24"/>
          <w:szCs w:val="24"/>
        </w:rPr>
      </w:r>
    </w:p>
    <w:p>
      <w:pPr>
        <w:pStyle w:val="Toaheading"/>
        <w:jc w:val="center"/>
        <w:rPr/>
      </w:pPr>
      <w:bookmarkStart w:id="2" w:name="__DdeLink__2743_4799373611"/>
      <w:bookmarkEnd w:id="2"/>
      <w:r>
        <w:rPr>
          <w:rFonts w:ascii="Times New Roman" w:hAnsi="Times New Roman"/>
          <w:color w:val="000000"/>
          <w:sz w:val="24"/>
          <w:szCs w:val="24"/>
        </w:rPr>
        <w:t>Содержание</w:t>
      </w:r>
    </w:p>
    <w:p>
      <w:pPr>
        <w:pStyle w:val="12"/>
        <w:tabs>
          <w:tab w:val="left" w:pos="560" w:leader="none"/>
          <w:tab w:val="right" w:pos="9355" w:leader="dot"/>
        </w:tabs>
        <w:rPr/>
      </w:pPr>
      <w:hyperlink w:anchor="__RefHeading___Toc3281_2672195666">
        <w:r>
          <w:rPr>
            <w:rStyle w:val="Style24"/>
            <w:b w:val="false"/>
            <w:bCs w:val="false"/>
            <w:color w:val="000000"/>
          </w:rPr>
          <w:t>1. Общие сведения</w:t>
          <w:tab/>
          <w:t>3</w:t>
        </w:r>
      </w:hyperlink>
    </w:p>
    <w:p>
      <w:pPr>
        <w:pStyle w:val="22"/>
        <w:tabs>
          <w:tab w:val="right" w:pos="9355" w:leader="dot"/>
        </w:tabs>
        <w:rPr/>
      </w:pPr>
      <w:hyperlink w:anchor="__RefHeading___Toc3283_2672195666">
        <w:r>
          <w:rPr>
            <w:rStyle w:val="Style24"/>
            <w:color w:val="000000"/>
            <w:szCs w:val="24"/>
          </w:rPr>
          <w:t>1.1. Обозначения и сокращения в электроэнергетике</w:t>
          <w:tab/>
          <w:t>3</w:t>
        </w:r>
      </w:hyperlink>
    </w:p>
    <w:p>
      <w:pPr>
        <w:pStyle w:val="22"/>
        <w:tabs>
          <w:tab w:val="right" w:pos="9355" w:leader="dot"/>
        </w:tabs>
        <w:rPr/>
      </w:pPr>
      <w:hyperlink w:anchor="__RefHeading___Toc3285_2672195666">
        <w:r>
          <w:rPr>
            <w:rStyle w:val="Style24"/>
            <w:color w:val="000000"/>
            <w:szCs w:val="24"/>
          </w:rPr>
          <w:t>1.2. Наименование закупаемых работ.</w:t>
          <w:tab/>
          <w:t>4</w:t>
        </w:r>
      </w:hyperlink>
    </w:p>
    <w:p>
      <w:pPr>
        <w:pStyle w:val="22"/>
        <w:tabs>
          <w:tab w:val="right" w:pos="9355" w:leader="dot"/>
        </w:tabs>
        <w:rPr/>
      </w:pPr>
      <w:hyperlink w:anchor="__RefHeading___Toc3287_2672195666">
        <w:r>
          <w:rPr>
            <w:rStyle w:val="Style24"/>
            <w:color w:val="000000"/>
            <w:szCs w:val="24"/>
          </w:rPr>
          <w:t>1.3. Цели и задачи.</w:t>
          <w:tab/>
          <w:t>4</w:t>
        </w:r>
      </w:hyperlink>
    </w:p>
    <w:p>
      <w:pPr>
        <w:pStyle w:val="31"/>
        <w:tabs>
          <w:tab w:val="left" w:pos="1120" w:leader="none"/>
          <w:tab w:val="right" w:pos="9355" w:leader="dot"/>
        </w:tabs>
        <w:rPr/>
      </w:pPr>
      <w:hyperlink w:anchor="__RefHeading___Toc3671_2672195666">
        <w:r>
          <w:rPr>
            <w:rStyle w:val="Style24"/>
            <w:color w:val="000000"/>
            <w:sz w:val="24"/>
            <w:szCs w:val="24"/>
          </w:rPr>
          <w:t>Таблица 1. Перечень объектов заказчика</w:t>
          <w:tab/>
          <w:t>4</w:t>
        </w:r>
      </w:hyperlink>
    </w:p>
    <w:p>
      <w:pPr>
        <w:pStyle w:val="12"/>
        <w:tabs>
          <w:tab w:val="left" w:pos="560" w:leader="none"/>
          <w:tab w:val="right" w:pos="9355" w:leader="dot"/>
        </w:tabs>
        <w:rPr/>
      </w:pPr>
      <w:hyperlink w:anchor="__RefHeading___Toc3289_2672195666">
        <w:r>
          <w:rPr>
            <w:rStyle w:val="Style24"/>
            <w:b w:val="false"/>
            <w:bCs w:val="false"/>
            <w:color w:val="000000"/>
          </w:rPr>
          <w:t>2. Требования к продукции</w:t>
          <w:tab/>
          <w:t>5</w:t>
        </w:r>
      </w:hyperlink>
    </w:p>
    <w:p>
      <w:pPr>
        <w:pStyle w:val="22"/>
        <w:tabs>
          <w:tab w:val="right" w:pos="9355" w:leader="dot"/>
        </w:tabs>
        <w:rPr/>
      </w:pPr>
      <w:hyperlink w:anchor="__RefHeading___Toc3673_2672195666">
        <w:r>
          <w:rPr>
            <w:rStyle w:val="Style24"/>
            <w:color w:val="000000"/>
            <w:szCs w:val="24"/>
          </w:rPr>
          <w:t>2.1. Требования к объемам и срокам выполнения работ</w:t>
          <w:tab/>
          <w:t>5</w:t>
        </w:r>
      </w:hyperlink>
    </w:p>
    <w:p>
      <w:pPr>
        <w:pStyle w:val="22"/>
        <w:tabs>
          <w:tab w:val="right" w:pos="9355" w:leader="dot"/>
        </w:tabs>
        <w:rPr/>
      </w:pPr>
      <w:hyperlink w:anchor="__RefHeading___Toc3675_2672195666">
        <w:r>
          <w:rPr>
            <w:rStyle w:val="Style24"/>
            <w:color w:val="000000"/>
            <w:szCs w:val="24"/>
          </w:rPr>
          <w:t>2.1.1. Требования к видам и объемам работ</w:t>
          <w:tab/>
          <w:t>5</w:t>
        </w:r>
      </w:hyperlink>
    </w:p>
    <w:p>
      <w:pPr>
        <w:pStyle w:val="31"/>
        <w:tabs>
          <w:tab w:val="left" w:pos="1120" w:leader="none"/>
          <w:tab w:val="right" w:pos="9355" w:leader="dot"/>
        </w:tabs>
        <w:rPr/>
      </w:pPr>
      <w:hyperlink w:anchor="__RefHeading___Toc3677_2672195666">
        <w:r>
          <w:rPr>
            <w:rStyle w:val="Style24"/>
            <w:color w:val="000000"/>
            <w:sz w:val="24"/>
            <w:szCs w:val="24"/>
          </w:rPr>
          <w:t>Таблица 2. Перечень и объем выполняемых работ</w:t>
          <w:tab/>
          <w:t>5</w:t>
        </w:r>
      </w:hyperlink>
    </w:p>
    <w:p>
      <w:pPr>
        <w:pStyle w:val="22"/>
        <w:tabs>
          <w:tab w:val="right" w:pos="9355" w:leader="dot"/>
        </w:tabs>
        <w:rPr/>
      </w:pPr>
      <w:hyperlink w:anchor="__RefHeading___Toc3679_2672195666">
        <w:r>
          <w:rPr>
            <w:rStyle w:val="Style24"/>
            <w:color w:val="000000"/>
            <w:szCs w:val="24"/>
          </w:rPr>
          <w:t>2.1.2. Требования к срокам выполнения работ</w:t>
          <w:tab/>
        </w:r>
      </w:hyperlink>
      <w:r>
        <w:rPr>
          <w:color w:val="000000"/>
          <w:szCs w:val="24"/>
        </w:rPr>
        <w:t>7</w:t>
      </w:r>
    </w:p>
    <w:p>
      <w:pPr>
        <w:pStyle w:val="31"/>
        <w:tabs>
          <w:tab w:val="left" w:pos="1120" w:leader="none"/>
          <w:tab w:val="right" w:pos="9355" w:leader="dot"/>
        </w:tabs>
        <w:rPr/>
      </w:pPr>
      <w:hyperlink w:anchor="__RefHeading___Toc9124_2185547740">
        <w:r>
          <w:rPr>
            <w:rStyle w:val="Style24"/>
            <w:color w:val="000000"/>
            <w:sz w:val="24"/>
            <w:szCs w:val="24"/>
          </w:rPr>
          <w:t>Таблица 3. Требования по срокам выполнения работ</w:t>
          <w:tab/>
          <w:t>7</w:t>
        </w:r>
      </w:hyperlink>
    </w:p>
    <w:p>
      <w:pPr>
        <w:pStyle w:val="22"/>
        <w:tabs>
          <w:tab w:val="right" w:pos="9355" w:leader="dot"/>
        </w:tabs>
        <w:rPr/>
      </w:pPr>
      <w:hyperlink w:anchor="__RefHeading___Toc3681_2672195666">
        <w:r>
          <w:rPr>
            <w:rStyle w:val="Style24"/>
            <w:color w:val="000000"/>
            <w:szCs w:val="24"/>
          </w:rPr>
          <w:t>2.2. Требования к качеству работ</w:t>
          <w:tab/>
          <w:t>8</w:t>
        </w:r>
      </w:hyperlink>
    </w:p>
    <w:p>
      <w:pPr>
        <w:pStyle w:val="31"/>
        <w:tabs>
          <w:tab w:val="left" w:pos="1120" w:leader="none"/>
          <w:tab w:val="right" w:pos="9355" w:leader="dot"/>
        </w:tabs>
        <w:rPr/>
      </w:pPr>
      <w:hyperlink w:anchor="__RefHeading___Toc3683_2672195666">
        <w:r>
          <w:rPr>
            <w:rStyle w:val="Style24"/>
            <w:color w:val="000000"/>
            <w:sz w:val="24"/>
            <w:szCs w:val="24"/>
          </w:rPr>
          <w:t>Таблица 4. Требования к качеству работ</w:t>
          <w:tab/>
          <w:t>8</w:t>
        </w:r>
      </w:hyperlink>
    </w:p>
    <w:p>
      <w:pPr>
        <w:pStyle w:val="12"/>
        <w:tabs>
          <w:tab w:val="left" w:pos="560" w:leader="none"/>
          <w:tab w:val="right" w:pos="9355" w:leader="dot"/>
        </w:tabs>
        <w:rPr/>
      </w:pPr>
      <w:hyperlink w:anchor="__RefHeading___Toc3291_2672195666">
        <w:r>
          <w:rPr>
            <w:rStyle w:val="Style24"/>
            <w:b w:val="false"/>
            <w:bCs w:val="false"/>
            <w:color w:val="000000"/>
          </w:rPr>
          <w:t>3. Требования к документации по ценообразованию на этапе закупки</w:t>
          <w:tab/>
        </w:r>
      </w:hyperlink>
      <w:r>
        <w:rPr>
          <w:rStyle w:val="Style24"/>
          <w:b w:val="false"/>
          <w:bCs w:val="false"/>
          <w:color w:val="000000"/>
        </w:rPr>
        <w:t>2</w:t>
      </w:r>
      <w:r>
        <w:rPr>
          <w:b w:val="false"/>
          <w:bCs w:val="false"/>
          <w:color w:val="000000"/>
        </w:rPr>
        <w:t>5</w:t>
      </w:r>
    </w:p>
    <w:p>
      <w:pPr>
        <w:pStyle w:val="12"/>
        <w:tabs>
          <w:tab w:val="left" w:pos="560" w:leader="none"/>
          <w:tab w:val="right" w:pos="9355" w:leader="dot"/>
        </w:tabs>
        <w:rPr/>
      </w:pPr>
      <w:hyperlink w:anchor="__RefHeading___Toc3293_2672195666">
        <w:r>
          <w:rPr>
            <w:rStyle w:val="Style24"/>
            <w:b w:val="false"/>
            <w:bCs w:val="false"/>
            <w:color w:val="000000"/>
          </w:rPr>
          <w:t>4. Требования к документации по ценообразованию на этапе заключения (исполнения) договора</w:t>
          <w:tab/>
        </w:r>
      </w:hyperlink>
      <w:r>
        <w:rPr>
          <w:rStyle w:val="Style24"/>
          <w:b w:val="false"/>
          <w:bCs w:val="false"/>
          <w:color w:val="000000"/>
        </w:rPr>
        <w:t>2</w:t>
      </w:r>
      <w:r>
        <w:rPr>
          <w:b w:val="false"/>
          <w:bCs w:val="false"/>
          <w:color w:val="000000"/>
        </w:rPr>
        <w:t>5</w:t>
      </w:r>
    </w:p>
    <w:p>
      <w:pPr>
        <w:pStyle w:val="12"/>
        <w:tabs>
          <w:tab w:val="left" w:pos="560" w:leader="none"/>
          <w:tab w:val="right" w:pos="9355" w:leader="dot"/>
        </w:tabs>
        <w:spacing w:before="0" w:after="200"/>
        <w:jc w:val="center"/>
        <w:rPr/>
      </w:pPr>
      <w:hyperlink w:anchor="__RefHeading___Toc9122_2185547740">
        <w:r>
          <w:rPr>
            <w:rStyle w:val="Style24"/>
            <w:rFonts w:eastAsia="Calibri" w:cs="Times New Roman"/>
            <w:b w:val="false"/>
            <w:bCs w:val="false"/>
            <w:color w:val="000000"/>
          </w:rPr>
          <w:t>5. Приложения</w:t>
          <w:tab/>
        </w:r>
      </w:hyperlink>
      <w:r>
        <w:rPr>
          <w:rStyle w:val="Style24"/>
          <w:rFonts w:eastAsia="Calibri" w:cs="Times New Roman"/>
          <w:b w:val="false"/>
          <w:bCs w:val="false"/>
          <w:color w:val="000000"/>
        </w:rPr>
        <w:t>2</w:t>
      </w:r>
      <w:r>
        <w:rPr>
          <w:rFonts w:eastAsia="Calibri" w:cs="Times New Roman"/>
          <w:b w:val="false"/>
          <w:bCs w:val="false"/>
          <w:color w:val="000000"/>
        </w:rPr>
        <w:t>5</w:t>
      </w:r>
    </w:p>
    <w:p>
      <w:pPr>
        <w:pStyle w:val="Normal"/>
        <w:spacing w:before="0" w:after="0"/>
        <w:jc w:val="center"/>
        <w:rPr>
          <w:rFonts w:ascii="Times New Roman" w:hAnsi="Times New Roman" w:cs="Times New Roman"/>
          <w:b/>
          <w:b/>
          <w:color w:val="333333"/>
          <w:sz w:val="24"/>
          <w:szCs w:val="24"/>
        </w:rPr>
      </w:pPr>
      <w:r>
        <w:rPr>
          <w:rFonts w:cs="Times New Roman" w:ascii="Times New Roman" w:hAnsi="Times New Roman"/>
          <w:b/>
          <w:color w:val="333333"/>
          <w:sz w:val="24"/>
          <w:szCs w:val="24"/>
        </w:rPr>
      </w:r>
    </w:p>
    <w:p>
      <w:pPr>
        <w:pStyle w:val="Normal"/>
        <w:spacing w:before="0" w:after="0"/>
        <w:jc w:val="center"/>
        <w:rPr>
          <w:rFonts w:ascii="Times New Roman" w:hAnsi="Times New Roman" w:cs="Times New Roman"/>
          <w:b/>
          <w:b/>
          <w:color w:val="333333"/>
          <w:sz w:val="24"/>
          <w:szCs w:val="24"/>
        </w:rPr>
      </w:pPr>
      <w:bookmarkStart w:id="3" w:name="__DdeLink__2743_47993736111"/>
      <w:bookmarkStart w:id="4" w:name="__DdeLink__2743_47993736111"/>
      <w:bookmarkEnd w:id="4"/>
      <w:r>
        <w:rPr>
          <w:rFonts w:cs="Times New Roman" w:ascii="Times New Roman" w:hAnsi="Times New Roman"/>
          <w:b/>
          <w:color w:val="333333"/>
          <w:sz w:val="24"/>
          <w:szCs w:val="24"/>
        </w:rPr>
      </w:r>
    </w:p>
    <w:p>
      <w:pPr>
        <w:pStyle w:val="Normal"/>
        <w:keepNext w:val="true"/>
        <w:keepLines/>
        <w:spacing w:before="0" w:after="0"/>
        <w:jc w:val="center"/>
        <w:rPr>
          <w:rFonts w:ascii="Times New Roman" w:hAnsi="Times New Roman" w:cs="Times New Roman"/>
          <w:b/>
          <w:b/>
          <w:sz w:val="24"/>
          <w:szCs w:val="24"/>
        </w:rPr>
      </w:pPr>
      <w:r>
        <w:rPr>
          <w:rFonts w:cs="Times New Roman" w:ascii="Times New Roman" w:hAnsi="Times New Roman"/>
          <w:b/>
          <w:sz w:val="24"/>
          <w:szCs w:val="24"/>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spacing w:before="0" w:after="0"/>
        <w:jc w:val="center"/>
        <w:rPr>
          <w:rFonts w:ascii="Times New Roman" w:hAnsi="Times New Roman" w:cs="Times New Roman"/>
          <w:b/>
          <w:b/>
          <w:sz w:val="26"/>
          <w:szCs w:val="26"/>
        </w:rPr>
      </w:pPr>
      <w:r>
        <w:rPr>
          <w:rFonts w:cs="Times New Roman" w:ascii="Times New Roman" w:hAnsi="Times New Roman"/>
          <w:b/>
          <w:sz w:val="26"/>
          <w:szCs w:val="26"/>
        </w:rPr>
      </w:r>
    </w:p>
    <w:p>
      <w:pPr>
        <w:pStyle w:val="Normal"/>
        <w:keepNext w:val="true"/>
        <w:numPr>
          <w:ilvl w:val="0"/>
          <w:numId w:val="0"/>
        </w:numPr>
        <w:spacing w:lineRule="auto" w:line="240" w:before="120" w:after="60"/>
        <w:ind w:left="432" w:hanging="432"/>
        <w:jc w:val="center"/>
        <w:outlineLvl w:val="3"/>
        <w:rPr>
          <w:rFonts w:ascii="Times New Roman" w:hAnsi="Times New Roman" w:cs="Times New Roman"/>
          <w:b/>
          <w:b/>
          <w:bCs/>
          <w:sz w:val="28"/>
          <w:szCs w:val="28"/>
          <w:lang w:val="x-none" w:eastAsia="x-none"/>
        </w:rPr>
      </w:pPr>
      <w:bookmarkStart w:id="5" w:name="_Toc54643122"/>
      <w:bookmarkEnd w:id="5"/>
      <w:r>
        <w:rPr>
          <w:rFonts w:cs="Times New Roman" w:ascii="Times New Roman" w:hAnsi="Times New Roman"/>
          <w:b/>
          <w:bCs/>
          <w:sz w:val="28"/>
          <w:szCs w:val="28"/>
          <w:lang w:val="x-none" w:eastAsia="x-none"/>
        </w:rPr>
        <w:t>1.</w:t>
        <w:tab/>
        <w:t>Общие сведения</w:t>
      </w:r>
    </w:p>
    <w:p>
      <w:pPr>
        <w:pStyle w:val="Normal"/>
        <w:keepNext w:val="true"/>
        <w:numPr>
          <w:ilvl w:val="0"/>
          <w:numId w:val="0"/>
        </w:numPr>
        <w:spacing w:lineRule="auto" w:line="240" w:before="120" w:after="60"/>
        <w:ind w:left="432" w:hanging="432"/>
        <w:jc w:val="both"/>
        <w:outlineLvl w:val="3"/>
        <w:rPr>
          <w:rFonts w:ascii="Times New Roman" w:hAnsi="Times New Roman" w:cs="Times New Roman"/>
          <w:b/>
          <w:b/>
          <w:bCs/>
          <w:sz w:val="24"/>
          <w:szCs w:val="24"/>
          <w:lang w:val="x-none" w:eastAsia="x-none"/>
        </w:rPr>
      </w:pPr>
      <w:bookmarkStart w:id="6" w:name="_Toc46743505"/>
      <w:bookmarkStart w:id="7" w:name="_Toc54646396"/>
      <w:bookmarkStart w:id="8" w:name="_Toc546431221"/>
      <w:bookmarkEnd w:id="8"/>
      <w:r>
        <w:rPr>
          <w:rFonts w:cs="Times New Roman" w:ascii="Times New Roman" w:hAnsi="Times New Roman"/>
          <w:b/>
          <w:bCs/>
          <w:sz w:val="24"/>
          <w:szCs w:val="24"/>
          <w:lang w:eastAsia="x-none"/>
        </w:rPr>
        <w:t xml:space="preserve">1.1. </w:t>
      </w:r>
      <w:r>
        <w:rPr>
          <w:rFonts w:cs="Times New Roman" w:ascii="Times New Roman" w:hAnsi="Times New Roman"/>
          <w:b/>
          <w:bCs/>
          <w:sz w:val="24"/>
          <w:szCs w:val="24"/>
          <w:lang w:val="x-none" w:eastAsia="x-none"/>
        </w:rPr>
        <w:t>Обозначения и сокращения</w:t>
      </w:r>
      <w:bookmarkEnd w:id="6"/>
      <w:bookmarkEnd w:id="7"/>
      <w:r>
        <w:rPr>
          <w:rFonts w:cs="Times New Roman" w:ascii="Times New Roman" w:hAnsi="Times New Roman"/>
          <w:b/>
          <w:bCs/>
          <w:sz w:val="24"/>
          <w:szCs w:val="24"/>
          <w:lang w:eastAsia="x-none"/>
        </w:rPr>
        <w:t xml:space="preserve"> </w:t>
      </w:r>
      <w:r>
        <w:rPr>
          <w:rFonts w:cs="Times New Roman" w:ascii="Times New Roman" w:hAnsi="Times New Roman"/>
          <w:b/>
          <w:bCs/>
          <w:sz w:val="24"/>
          <w:szCs w:val="24"/>
          <w:lang w:val="x-none" w:eastAsia="x-none"/>
        </w:rPr>
        <w:t>в электроэнергетике</w:t>
      </w:r>
    </w:p>
    <w:tbl>
      <w:tblPr>
        <w:tblW w:w="9783"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4a0" w:noVBand="1" w:noHBand="0" w:lastColumn="0" w:firstColumn="1" w:lastRow="0" w:firstRow="1"/>
      </w:tblPr>
      <w:tblGrid>
        <w:gridCol w:w="1785"/>
        <w:gridCol w:w="7997"/>
      </w:tblGrid>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rStyle w:val="Style22"/>
                <w:bCs/>
                <w:iCs/>
                <w:sz w:val="22"/>
                <w:szCs w:val="22"/>
              </w:rPr>
            </w:pPr>
            <w:r>
              <w:rPr>
                <w:color w:val="2D2D2D"/>
                <w:spacing w:val="2"/>
                <w:sz w:val="22"/>
                <w:szCs w:val="22"/>
                <w:shd w:fill="FFFFFF" w:val="clear"/>
                <w:lang w:val="sah-RU"/>
              </w:rPr>
              <w:t>РФ</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rStyle w:val="Style22"/>
                <w:bCs/>
                <w:i w:val="false"/>
                <w:i w:val="false"/>
                <w:iCs/>
                <w:sz w:val="22"/>
                <w:szCs w:val="22"/>
              </w:rPr>
            </w:pPr>
            <w:r>
              <w:rPr>
                <w:bCs/>
                <w:color w:val="2D2D2D"/>
                <w:spacing w:val="2"/>
                <w:sz w:val="22"/>
                <w:szCs w:val="22"/>
                <w:shd w:fill="FFFFFF" w:val="clear"/>
                <w:lang w:val="sah-RU"/>
              </w:rPr>
              <w:t>Российская Федерация;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КПТ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кадастровый план территории;</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ЕГРН</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Единый государственный реестр недвижимости</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ПСД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Проектно-сметная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Проектная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рабочая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en-US"/>
              </w:rPr>
            </w:pPr>
            <w:r>
              <w:rPr>
                <w:color w:val="2D2D2D"/>
                <w:spacing w:val="2"/>
                <w:sz w:val="22"/>
                <w:szCs w:val="22"/>
                <w:shd w:fill="FFFFFF" w:val="clear"/>
                <w:lang w:val="sah-RU"/>
              </w:rPr>
              <w:t>ТТ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технические требования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ТУ</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техническое условия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ВЛ</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воздушная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КЛ</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кабельная линия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ЛЭП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линия электропередач</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ПС</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подстанция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Трансформаторная подстанция /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РТП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распределительный трансформаторный 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ИРД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исходно-разрешительная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НТД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нормативно-техническая документация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НПА</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нормативно-правовой акт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РЭС</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районные электрические сети</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струтурное подразделение филиала АО “ДРСК”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ПУЭ</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Правила устройства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ПОТЭЭУ</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Правила по охране турда при эксплуатации электроустановок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МО</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Муниципальное образование</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ГОСТ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Государственный стандарт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СПиП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Строительные нормы и правила</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Свод правил</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СРО</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саморегулируемая организация</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кВ</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единица измерения напряжения киловольт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кВт</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lang w:val="sah-RU"/>
              </w:rPr>
            </w:pPr>
            <w:r>
              <w:rPr>
                <w:color w:val="2D2D2D"/>
                <w:spacing w:val="2"/>
                <w:sz w:val="22"/>
                <w:szCs w:val="22"/>
                <w:shd w:fill="FFFFFF" w:val="clear"/>
                <w:lang w:val="sah-RU"/>
              </w:rPr>
              <w:t>единица измерения мощности киловатт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ЛСР</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локальный сметный расчет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ЗУ</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земельный участок</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ПУД</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правоустанавливающий документ</w:t>
            </w:r>
          </w:p>
        </w:tc>
      </w:tr>
      <w:tr>
        <w:trPr>
          <w:trHeight w:val="281" w:hRule="atLeast"/>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РП</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spacing w:lineRule="auto" w:line="240"/>
              <w:ind w:left="-851" w:firstLine="851"/>
              <w:jc w:val="both"/>
              <w:rPr>
                <w:color w:val="2D2D2D"/>
                <w:spacing w:val="2"/>
                <w:sz w:val="22"/>
                <w:szCs w:val="22"/>
                <w:highlight w:val="white"/>
              </w:rPr>
            </w:pPr>
            <w:r>
              <w:rPr>
                <w:sz w:val="22"/>
              </w:rPr>
              <w:t>распределительный</w:t>
            </w:r>
            <w:r>
              <w:rPr/>
              <w:t xml:space="preserve"> </w:t>
            </w:r>
            <w:r>
              <w:rPr>
                <w:sz w:val="22"/>
              </w:rPr>
              <w:t>пункт</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ГНБ</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горизонтально-направленное бурение</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АИИС</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автоматизированная информационно-измерительная система</w:t>
            </w:r>
          </w:p>
        </w:tc>
      </w:tr>
      <w:tr>
        <w:trPr>
          <w:cantSplit w:val="true"/>
        </w:trPr>
        <w:tc>
          <w:tcPr>
            <w:tcW w:w="178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КУЭ</w:t>
            </w:r>
          </w:p>
        </w:tc>
        <w:tc>
          <w:tcPr>
            <w:tcW w:w="79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Spacing"/>
              <w:widowControl w:val="false"/>
              <w:ind w:left="-851" w:firstLine="851"/>
              <w:jc w:val="both"/>
              <w:rPr>
                <w:color w:val="2D2D2D"/>
                <w:spacing w:val="2"/>
                <w:sz w:val="22"/>
                <w:szCs w:val="22"/>
                <w:highlight w:val="white"/>
              </w:rPr>
            </w:pPr>
            <w:r>
              <w:rPr>
                <w:color w:val="2D2D2D"/>
                <w:spacing w:val="2"/>
                <w:sz w:val="22"/>
                <w:szCs w:val="22"/>
                <w:shd w:fill="FFFFFF" w:val="clear"/>
              </w:rPr>
              <w:t>коммерческий учёт энергоресурсов</w:t>
            </w:r>
          </w:p>
        </w:tc>
      </w:tr>
    </w:tbl>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1.2. Наименование закупаемых работ.</w:t>
      </w:r>
    </w:p>
    <w:p>
      <w:pPr>
        <w:pStyle w:val="Normal"/>
        <w:spacing w:lineRule="auto" w:line="240" w:before="0" w:after="0"/>
        <w:ind w:firstLine="426"/>
        <w:jc w:val="both"/>
        <w:rPr/>
      </w:pPr>
      <w:r>
        <w:rPr>
          <w:rFonts w:cs="Times New Roman" w:ascii="Times New Roman" w:hAnsi="Times New Roman"/>
          <w:sz w:val="24"/>
          <w:szCs w:val="24"/>
        </w:rPr>
        <w:t xml:space="preserve"> </w:t>
      </w:r>
      <w:r>
        <w:rPr>
          <w:rFonts w:cs="Times New Roman" w:ascii="Times New Roman" w:hAnsi="Times New Roman"/>
          <w:sz w:val="24"/>
          <w:szCs w:val="24"/>
        </w:rPr>
        <w:t xml:space="preserve">ОКПД2 42.22.12.110 Выполнение проектных, строительно-монтажных работ для технологического присоединения к электрическим сетям заявителей Администрация Шкотовского муниципального района в Приморском крае, Шкотовском р-не, с. Многоудобное»;  </w:t>
      </w:r>
      <w:r>
        <w:rPr>
          <w:rFonts w:cs="Times New Roman" w:ascii="Times New Roman" w:hAnsi="Times New Roman"/>
          <w:sz w:val="26"/>
          <w:szCs w:val="26"/>
        </w:rPr>
        <w:t>Администрация Шкотовского муниципального района в Приморском крае, Шкотовском р-не, п. Подъяпольское</w:t>
      </w:r>
      <w:r>
        <w:rPr>
          <w:rFonts w:cs="Times New Roman" w:ascii="Times New Roman" w:hAnsi="Times New Roman"/>
          <w:sz w:val="24"/>
          <w:szCs w:val="24"/>
        </w:rPr>
        <w:t>».</w:t>
      </w:r>
    </w:p>
    <w:p>
      <w:pPr>
        <w:pStyle w:val="Normal"/>
        <w:spacing w:lineRule="auto" w:line="240" w:before="0" w:after="0"/>
        <w:ind w:firstLine="426"/>
        <w:jc w:val="both"/>
        <w:rPr>
          <w:rFonts w:ascii="Times New Roman" w:hAnsi="Times New Roman" w:cs="Times New Roman"/>
          <w:sz w:val="24"/>
          <w:szCs w:val="24"/>
        </w:rPr>
      </w:pPr>
      <w:r>
        <w:rPr>
          <w:rFonts w:cs="Times New Roman" w:ascii="Times New Roman" w:hAnsi="Times New Roman"/>
          <w:sz w:val="24"/>
          <w:szCs w:val="24"/>
        </w:rPr>
      </w:r>
    </w:p>
    <w:p>
      <w:pPr>
        <w:pStyle w:val="Style38"/>
        <w:spacing w:lineRule="auto" w:line="276"/>
        <w:jc w:val="both"/>
        <w:rPr/>
      </w:pPr>
      <w:r>
        <w:rPr>
          <w:rStyle w:val="Strong"/>
        </w:rPr>
        <w:t xml:space="preserve">    </w:t>
      </w:r>
      <w:r>
        <w:rPr>
          <w:rStyle w:val="Strong"/>
        </w:rPr>
        <w:tab/>
        <w:t>Заказчик</w:t>
      </w:r>
      <w:r>
        <w:rPr>
          <w:rStyle w:val="Strong"/>
          <w:lang w:val="sah-RU"/>
        </w:rPr>
        <w:t xml:space="preserve"> (подразделение Заказчика): </w:t>
      </w:r>
      <w:r>
        <w:rPr>
          <w:rFonts w:eastAsia="Calibri"/>
        </w:rPr>
        <w:t xml:space="preserve">филиал АО «ДРСК» Приморские электрические сети. </w:t>
      </w:r>
    </w:p>
    <w:p>
      <w:pPr>
        <w:pStyle w:val="NoSpacing"/>
        <w:spacing w:lineRule="auto" w:line="276"/>
        <w:ind w:firstLine="426"/>
        <w:jc w:val="both"/>
        <w:rPr/>
      </w:pPr>
      <w:r>
        <w:rPr/>
        <w:t>Адрес филиала: г. Владивосток, ул. Командорская, 13А.</w:t>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 xml:space="preserve">1.3. Цели и задачи. </w:t>
      </w:r>
    </w:p>
    <w:p>
      <w:pPr>
        <w:pStyle w:val="Normal"/>
        <w:tabs>
          <w:tab w:val="left" w:pos="567" w:leader="none"/>
        </w:tabs>
        <w:spacing w:lineRule="auto" w:line="240" w:before="0" w:after="0"/>
        <w:jc w:val="both"/>
        <w:rPr/>
      </w:pPr>
      <w:r>
        <w:rPr>
          <w:rFonts w:eastAsia="Times New Roman" w:cs="Times New Roman" w:ascii="Times New Roman" w:hAnsi="Times New Roman"/>
          <w:b/>
          <w:sz w:val="24"/>
          <w:szCs w:val="24"/>
          <w:lang w:eastAsia="ru-RU"/>
        </w:rPr>
        <w:t>1</w:t>
      </w:r>
      <w:r>
        <w:rPr>
          <w:rFonts w:eastAsia="Times New Roman" w:cs="Times New Roman" w:ascii="Times New Roman" w:hAnsi="Times New Roman"/>
          <w:b/>
          <w:color w:val="000000" w:themeColor="text1"/>
          <w:sz w:val="24"/>
          <w:szCs w:val="24"/>
          <w:lang w:eastAsia="ru-RU"/>
        </w:rPr>
        <w:t>.3.1.</w:t>
      </w:r>
      <w:r>
        <w:rPr>
          <w:rFonts w:eastAsia="Times New Roman" w:cs="Times New Roman" w:ascii="Times New Roman" w:hAnsi="Times New Roman"/>
          <w:color w:val="000000" w:themeColor="text1"/>
          <w:sz w:val="24"/>
          <w:szCs w:val="24"/>
          <w:lang w:eastAsia="ru-RU"/>
        </w:rPr>
        <w:t xml:space="preserve"> Целью выполняемых работ является осуществление комплекса мероприятий по строительству объекта технологического присоединения к электрическим сетям АО «ДРСК» в рамках заключенного договора</w:t>
      </w:r>
      <w:r>
        <w:rPr>
          <w:rFonts w:cs="Times New Roman" w:ascii="Times New Roman" w:hAnsi="Times New Roman"/>
          <w:color w:val="000000" w:themeColor="text1"/>
          <w:sz w:val="24"/>
          <w:szCs w:val="24"/>
        </w:rPr>
        <w:t>:</w:t>
      </w:r>
    </w:p>
    <w:p>
      <w:pPr>
        <w:pStyle w:val="ListParagraph"/>
        <w:numPr>
          <w:ilvl w:val="0"/>
          <w:numId w:val="5"/>
        </w:numPr>
        <w:ind w:left="0" w:firstLine="284"/>
        <w:jc w:val="both"/>
        <w:rPr/>
      </w:pPr>
      <w:r>
        <w:rPr>
          <w:color w:val="000000" w:themeColor="text1"/>
          <w:sz w:val="24"/>
          <w:szCs w:val="24"/>
          <w:lang w:val="ru-RU"/>
        </w:rPr>
        <w:t>Договор № 4000/24-ТП от 01.08.2024 с Администрацией Шкотовского муниципального района -  технологическое присоединение жилого дома по адресу: Приморский край, Шкотовский р-н, с. Многоудобное, в 63 м от пер. Ручейный, дом 7 по направлению на северо-восток, кадастровый номер земельного участка 25:24:000000:3275, 30 кВт, 0,4 кВ;</w:t>
      </w:r>
    </w:p>
    <w:p>
      <w:pPr>
        <w:pStyle w:val="ListParagraph"/>
        <w:numPr>
          <w:ilvl w:val="0"/>
          <w:numId w:val="5"/>
        </w:numPr>
        <w:ind w:left="0" w:firstLine="284"/>
        <w:jc w:val="both"/>
        <w:rPr/>
      </w:pPr>
      <w:r>
        <w:rPr>
          <w:sz w:val="24"/>
          <w:szCs w:val="24"/>
        </w:rPr>
        <w:t>Договор № 3731/24 от 01.08.2024 с Администрацией Шкотовского муниципального района -  технологическое присоединение индивидуальных жилых домов по адресу: Приморский край, Шкотовский р-н, п. Подъяпольское, в 102 м от ул. Зеленая, жилой дом № 2 по направлению на восток, кадастровый номер земельного участка 25:24:000000:2788, 60 кВт, 0,4 кВ.</w:t>
      </w:r>
    </w:p>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Cs/>
          <w:sz w:val="24"/>
          <w:szCs w:val="24"/>
          <w:lang w:eastAsia="ru-RU"/>
        </w:rPr>
        <w:t xml:space="preserve">Таблица 1.  Перечень объектов заказчика    </w:t>
      </w:r>
    </w:p>
    <w:tbl>
      <w:tblPr>
        <w:tblW w:w="9498" w:type="dxa"/>
        <w:jc w:val="left"/>
        <w:tblInd w:w="-8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3" w:type="dxa"/>
          <w:bottom w:w="0" w:type="dxa"/>
          <w:right w:w="108" w:type="dxa"/>
        </w:tblCellMar>
        <w:tblLook w:val="0000" w:noVBand="0" w:noHBand="0" w:lastColumn="0" w:firstColumn="0" w:lastRow="0" w:firstRow="0"/>
      </w:tblPr>
      <w:tblGrid>
        <w:gridCol w:w="563"/>
        <w:gridCol w:w="3656"/>
        <w:gridCol w:w="2422"/>
        <w:gridCol w:w="2856"/>
      </w:tblGrid>
      <w:tr>
        <w:trPr>
          <w:trHeight w:val="424"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rPr/>
            </w:pPr>
            <w:r>
              <w:rPr>
                <w:rFonts w:cs="Times New Roman" w:ascii="Times New Roman" w:hAnsi="Times New Roman"/>
                <w:szCs w:val="24"/>
              </w:rPr>
              <w:t>№</w:t>
            </w:r>
          </w:p>
          <w:p>
            <w:pPr>
              <w:pStyle w:val="Normal"/>
              <w:spacing w:before="0" w:after="0"/>
              <w:rPr/>
            </w:pPr>
            <w:r>
              <w:rPr>
                <w:rFonts w:cs="Times New Roman" w:ascii="Times New Roman" w:hAnsi="Times New Roman"/>
                <w:szCs w:val="24"/>
              </w:rPr>
              <w:t>п/п</w:t>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szCs w:val="24"/>
              </w:rPr>
              <w:t xml:space="preserve">Наименование объекта </w:t>
            </w:r>
          </w:p>
          <w:p>
            <w:pPr>
              <w:pStyle w:val="Normal"/>
              <w:spacing w:before="0" w:after="0"/>
              <w:jc w:val="center"/>
              <w:rPr>
                <w:rFonts w:ascii="Times New Roman" w:hAnsi="Times New Roman" w:cs="Times New Roman"/>
                <w:szCs w:val="24"/>
              </w:rPr>
            </w:pPr>
            <w:r>
              <w:rPr>
                <w:rFonts w:cs="Times New Roman" w:ascii="Times New Roman" w:hAnsi="Times New Roman"/>
                <w:szCs w:val="24"/>
              </w:rPr>
            </w:r>
          </w:p>
        </w:tc>
        <w:tc>
          <w:tcPr>
            <w:tcW w:w="2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szCs w:val="24"/>
              </w:rPr>
              <w:t xml:space="preserve">Расположение объекта </w:t>
              <w:br/>
            </w:r>
            <w:r>
              <w:rPr>
                <w:rFonts w:cs="Times New Roman" w:ascii="Times New Roman" w:hAnsi="Times New Roman"/>
                <w:iCs/>
                <w:szCs w:val="24"/>
              </w:rPr>
              <w:t>(место оказания услуг)</w:t>
            </w:r>
            <w:r>
              <w:rPr>
                <w:rFonts w:cs="Times New Roman" w:ascii="Times New Roman" w:hAnsi="Times New Roman"/>
                <w:szCs w:val="24"/>
              </w:rPr>
              <w:t xml:space="preserve"> </w:t>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szCs w:val="24"/>
              </w:rPr>
              <w:t>Примечания</w:t>
            </w:r>
          </w:p>
        </w:tc>
      </w:tr>
      <w:tr>
        <w:trPr>
          <w:trHeight w:val="38" w:hRule="atLeast"/>
        </w:trPr>
        <w:tc>
          <w:tcPr>
            <w:tcW w:w="563"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b/>
                <w:szCs w:val="24"/>
              </w:rPr>
              <w:t>1</w:t>
            </w:r>
          </w:p>
        </w:tc>
        <w:tc>
          <w:tcPr>
            <w:tcW w:w="365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b/>
                <w:szCs w:val="24"/>
              </w:rPr>
              <w:t>2</w:t>
            </w:r>
          </w:p>
        </w:tc>
        <w:tc>
          <w:tcPr>
            <w:tcW w:w="2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b/>
                <w:szCs w:val="24"/>
              </w:rPr>
              <w:t>3</w:t>
            </w:r>
          </w:p>
        </w:tc>
        <w:tc>
          <w:tcPr>
            <w:tcW w:w="285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Fonts w:cs="Times New Roman" w:ascii="Times New Roman" w:hAnsi="Times New Roman"/>
                <w:b/>
                <w:szCs w:val="24"/>
              </w:rPr>
              <w:t>4</w:t>
            </w:r>
          </w:p>
        </w:tc>
      </w:tr>
      <w:tr>
        <w:trPr>
          <w:trHeight w:val="38" w:hRule="atLeast"/>
        </w:trPr>
        <w:tc>
          <w:tcPr>
            <w:tcW w:w="563"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
          </w:p>
        </w:tc>
        <w:tc>
          <w:tcPr>
            <w:tcW w:w="365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
          </w:p>
        </w:tc>
        <w:tc>
          <w:tcPr>
            <w:tcW w:w="242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rFonts w:ascii="Calibri" w:hAnsi="Calibri" w:eastAsia="Calibri" w:asciiTheme="minorHAnsi" w:eastAsiaTheme="minorHAnsi" w:hAnsiTheme="minorHAnsi"/>
              </w:rPr>
            </w:pPr>
            <w:r>
              <w:rPr>
                <w:rFonts w:eastAsia="Calibri" w:eastAsiaTheme="minorHAnsi"/>
              </w:rPr>
            </w:r>
          </w:p>
        </w:tc>
        <w:tc>
          <w:tcPr>
            <w:tcW w:w="285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tcPr>
          <w:p>
            <w:pPr>
              <w:pStyle w:val="Normal"/>
              <w:spacing w:before="0" w:after="0"/>
              <w:jc w:val="center"/>
              <w:rPr/>
            </w:pPr>
            <w:r>
              <w:rPr/>
            </w:r>
          </w:p>
        </w:tc>
      </w:tr>
      <w:tr>
        <w:trPr>
          <w:trHeight w:val="166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ListParagraph"/>
              <w:widowControl/>
              <w:numPr>
                <w:ilvl w:val="0"/>
                <w:numId w:val="1"/>
              </w:numPr>
              <w:tabs>
                <w:tab w:val="left" w:pos="167" w:leader="none"/>
              </w:tabs>
              <w:spacing w:before="0" w:after="200"/>
              <w:ind w:left="786" w:hanging="477"/>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rPr/>
            </w:pPr>
            <w:r>
              <w:rPr>
                <w:rFonts w:cs="Times New Roman" w:ascii="Times New Roman" w:hAnsi="Times New Roman"/>
                <w:b/>
                <w:iCs/>
                <w:szCs w:val="24"/>
              </w:rPr>
              <w:t>ЛЭП-6 кВ</w:t>
            </w:r>
          </w:p>
          <w:p>
            <w:pPr>
              <w:pStyle w:val="Normal"/>
              <w:spacing w:lineRule="auto" w:line="240" w:before="0" w:after="0"/>
              <w:rPr/>
            </w:pPr>
            <w:r>
              <w:rPr>
                <w:rFonts w:cs="Times New Roman" w:ascii="Times New Roman" w:hAnsi="Times New Roman"/>
              </w:rPr>
              <w:t>«Строительство ЛЭП 6 кВ отпайкой от действующей ЛЭП 6 кВ фидера 6 кВ №11 ПС 35/6 кВ Многоудобное до проектируемой ТП 6/0,4 кВ (для потребителя Администрация Шкотовского муниципального района)»</w:t>
            </w:r>
          </w:p>
        </w:tc>
        <w:tc>
          <w:tcPr>
            <w:tcW w:w="2422"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Fonts w:cs="Times New Roman" w:ascii="Times New Roman" w:hAnsi="Times New Roman"/>
                <w:szCs w:val="24"/>
              </w:rPr>
              <w:t xml:space="preserve">Приморский край, Шкотовском р-н, </w:t>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Fonts w:cs="Times New Roman" w:ascii="Times New Roman" w:hAnsi="Times New Roman"/>
                <w:i/>
                <w:iCs/>
                <w:szCs w:val="24"/>
              </w:rPr>
              <w:t>Протяженность ЛЭП, марку и сечения уточнить при проектировании и согласовать с заказчиком</w:t>
            </w:r>
          </w:p>
        </w:tc>
      </w:tr>
      <w:tr>
        <w:trPr>
          <w:trHeight w:val="166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ListParagraph"/>
              <w:widowControl/>
              <w:numPr>
                <w:ilvl w:val="0"/>
                <w:numId w:val="1"/>
              </w:numPr>
              <w:tabs>
                <w:tab w:val="left" w:pos="167" w:leader="none"/>
              </w:tabs>
              <w:spacing w:before="0" w:after="200"/>
              <w:ind w:left="786" w:hanging="477"/>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rPr/>
            </w:pPr>
            <w:r>
              <w:rPr>
                <w:rFonts w:cs="Times New Roman" w:ascii="Times New Roman" w:hAnsi="Times New Roman"/>
                <w:b/>
                <w:iCs/>
                <w:szCs w:val="24"/>
              </w:rPr>
              <w:t>ТП 6/0,4 кВ</w:t>
            </w:r>
          </w:p>
          <w:p>
            <w:pPr>
              <w:pStyle w:val="Normal"/>
              <w:spacing w:lineRule="auto" w:line="240" w:before="0" w:after="0"/>
              <w:rPr/>
            </w:pPr>
            <w:r>
              <w:rPr>
                <w:rFonts w:cs="Times New Roman" w:ascii="Times New Roman" w:hAnsi="Times New Roman"/>
              </w:rPr>
              <w:t>«Строительство ТП 6/0,4 кВ с одним силовым трансформатором мощностью не менее 40 кВА от проектируемой ЛЭП 6 кВ от ЛЭП 6 кВ фидера 6 кВ № 11 ПС 35/6 кВ Многоудобное (для потребителя Администрация Шкотовского муниципального района)»</w:t>
            </w:r>
          </w:p>
        </w:tc>
        <w:tc>
          <w:tcPr>
            <w:tcW w:w="2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rFonts w:ascii="Times New Roman" w:hAnsi="Times New Roman" w:cs="Times New Roman"/>
                <w:i/>
                <w:i/>
                <w:iCs/>
                <w:szCs w:val="24"/>
              </w:rPr>
            </w:pPr>
            <w:r>
              <w:rPr>
                <w:rFonts w:cs="Times New Roman" w:ascii="Times New Roman" w:hAnsi="Times New Roman"/>
                <w:i/>
                <w:iCs/>
                <w:szCs w:val="24"/>
              </w:rPr>
            </w:r>
          </w:p>
          <w:p>
            <w:pPr>
              <w:pStyle w:val="Normal"/>
              <w:spacing w:lineRule="auto" w:line="240" w:before="0" w:after="0"/>
              <w:jc w:val="center"/>
              <w:rPr/>
            </w:pPr>
            <w:r>
              <w:rPr>
                <w:rFonts w:cs="Times New Roman" w:ascii="Times New Roman" w:hAnsi="Times New Roman"/>
                <w:i/>
                <w:iCs/>
                <w:szCs w:val="24"/>
              </w:rPr>
              <w:t>Количество (шт.) – 1</w:t>
            </w:r>
          </w:p>
          <w:p>
            <w:pPr>
              <w:pStyle w:val="Normal"/>
              <w:spacing w:lineRule="auto" w:line="240" w:before="0" w:after="0"/>
              <w:jc w:val="center"/>
              <w:rPr/>
            </w:pPr>
            <w:r>
              <w:rPr>
                <w:rFonts w:cs="Times New Roman" w:ascii="Times New Roman" w:hAnsi="Times New Roman"/>
                <w:i/>
                <w:iCs/>
                <w:szCs w:val="24"/>
              </w:rPr>
              <w:t>Место посадки ТП определить при проектировании, согласовать с заказчиком</w:t>
            </w:r>
          </w:p>
        </w:tc>
      </w:tr>
      <w:tr>
        <w:trPr>
          <w:trHeight w:val="166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ListParagraph"/>
              <w:widowControl/>
              <w:numPr>
                <w:ilvl w:val="0"/>
                <w:numId w:val="1"/>
              </w:numPr>
              <w:tabs>
                <w:tab w:val="left" w:pos="167" w:leader="none"/>
              </w:tabs>
              <w:spacing w:before="0" w:after="200"/>
              <w:ind w:left="786" w:hanging="477"/>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rPr/>
            </w:pPr>
            <w:r>
              <w:rPr>
                <w:rFonts w:cs="Times New Roman" w:ascii="Times New Roman" w:hAnsi="Times New Roman"/>
                <w:b/>
                <w:iCs/>
                <w:szCs w:val="24"/>
              </w:rPr>
              <w:t>ЛЭП-0,4 кВ</w:t>
            </w:r>
          </w:p>
          <w:p>
            <w:pPr>
              <w:pStyle w:val="Normal"/>
              <w:spacing w:lineRule="auto" w:line="240" w:before="0" w:after="0"/>
              <w:jc w:val="both"/>
              <w:rPr/>
            </w:pPr>
            <w:r>
              <w:rPr>
                <w:rFonts w:cs="Times New Roman" w:ascii="Times New Roman" w:hAnsi="Times New Roman"/>
              </w:rPr>
              <w:t>« Строительство ЛЭП 0,4 кВ от РУ-0,4 кВ проектируемой ТП 6/0,4 кВ до границ участка Заявителя (для потребителя Администрации Шкотовского муниципального района)»</w:t>
            </w:r>
          </w:p>
        </w:tc>
        <w:tc>
          <w:tcPr>
            <w:tcW w:w="2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Fonts w:cs="Times New Roman" w:ascii="Times New Roman" w:hAnsi="Times New Roman"/>
                <w:i/>
                <w:iCs/>
                <w:szCs w:val="24"/>
              </w:rPr>
              <w:t>Протяженность ЛЭП, марку и сечения уточнить при проектировании и согласовать с заказчиком</w:t>
            </w:r>
          </w:p>
        </w:tc>
      </w:tr>
      <w:tr>
        <w:trPr>
          <w:trHeight w:val="166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ListParagraph"/>
              <w:widowControl/>
              <w:numPr>
                <w:ilvl w:val="0"/>
                <w:numId w:val="1"/>
              </w:numPr>
              <w:tabs>
                <w:tab w:val="left" w:pos="167" w:leader="none"/>
              </w:tabs>
              <w:spacing w:before="0" w:after="200"/>
              <w:ind w:left="786" w:hanging="477"/>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widowControl w:val="false"/>
              <w:spacing w:lineRule="auto" w:line="240" w:before="0" w:after="0"/>
              <w:rPr/>
            </w:pPr>
            <w:r>
              <w:rPr>
                <w:rFonts w:cs="Times New Roman" w:ascii="Times New Roman" w:hAnsi="Times New Roman"/>
                <w:b/>
                <w:iCs/>
                <w:szCs w:val="24"/>
              </w:rPr>
              <w:t>ЛЭП-10 кВ</w:t>
            </w:r>
          </w:p>
          <w:p>
            <w:pPr>
              <w:pStyle w:val="Normal"/>
              <w:widowControl w:val="false"/>
              <w:spacing w:lineRule="auto" w:line="240" w:before="0" w:after="0"/>
              <w:rPr/>
            </w:pPr>
            <w:r>
              <w:rPr>
                <w:rFonts w:cs="Times New Roman" w:ascii="Times New Roman" w:hAnsi="Times New Roman"/>
              </w:rPr>
              <w:t>«Строительство ЛЭП 10 кВ отпайкой от действующей ЛЭП 10 кВ фидера 10 кВ №7 ПС 110/10 кВ Подъяпольск до проектируемой ТП 10/0,4 кВ (для потребителя Администрации Шкотовского муниципального района)»</w:t>
            </w:r>
          </w:p>
        </w:tc>
        <w:tc>
          <w:tcPr>
            <w:tcW w:w="2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widowControl w:val="false"/>
              <w:spacing w:lineRule="auto" w:line="240" w:before="0" w:after="0"/>
              <w:jc w:val="center"/>
              <w:rPr/>
            </w:pPr>
            <w:r>
              <w:rPr>
                <w:rFonts w:cs="Times New Roman" w:ascii="Times New Roman" w:hAnsi="Times New Roman"/>
                <w:i/>
                <w:iCs/>
                <w:szCs w:val="24"/>
              </w:rPr>
              <w:t>Протяженность ЛЭП, марку и сечения уточнить при проектировании и согласовать с заказчиком</w:t>
            </w:r>
          </w:p>
        </w:tc>
      </w:tr>
      <w:tr>
        <w:trPr>
          <w:trHeight w:val="166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ListParagraph"/>
              <w:widowControl/>
              <w:numPr>
                <w:ilvl w:val="0"/>
                <w:numId w:val="1"/>
              </w:numPr>
              <w:tabs>
                <w:tab w:val="left" w:pos="167" w:leader="none"/>
              </w:tabs>
              <w:spacing w:before="0" w:after="200"/>
              <w:ind w:left="786" w:hanging="477"/>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widowControl w:val="false"/>
              <w:spacing w:lineRule="auto" w:line="240" w:before="0" w:after="0"/>
              <w:rPr/>
            </w:pPr>
            <w:r>
              <w:rPr>
                <w:rFonts w:cs="Times New Roman" w:ascii="Times New Roman" w:hAnsi="Times New Roman"/>
                <w:b/>
                <w:iCs/>
                <w:szCs w:val="24"/>
              </w:rPr>
              <w:t>ТП 10/0,4 кВ</w:t>
            </w:r>
          </w:p>
          <w:p>
            <w:pPr>
              <w:pStyle w:val="Normal"/>
              <w:widowControl w:val="false"/>
              <w:spacing w:lineRule="auto" w:line="240" w:before="0" w:after="0"/>
              <w:rPr/>
            </w:pPr>
            <w:r>
              <w:rPr>
                <w:rFonts w:cs="Times New Roman" w:ascii="Times New Roman" w:hAnsi="Times New Roman"/>
              </w:rPr>
              <w:t>« Строительство ТП 10/0,4 кВ с одним трансформатором мощностью не менее 63 кВА (для потребителя Администрации Шкотовского муниципального района)»</w:t>
            </w:r>
          </w:p>
        </w:tc>
        <w:tc>
          <w:tcPr>
            <w:tcW w:w="2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Fonts w:cs="Times New Roman" w:ascii="Times New Roman" w:hAnsi="Times New Roman"/>
                <w:i/>
                <w:iCs/>
                <w:szCs w:val="24"/>
              </w:rPr>
              <w:t>Количество (шт.) – 1</w:t>
            </w:r>
          </w:p>
          <w:p>
            <w:pPr>
              <w:pStyle w:val="Normal"/>
              <w:widowControl w:val="false"/>
              <w:spacing w:lineRule="auto" w:line="240" w:before="0" w:after="0"/>
              <w:jc w:val="center"/>
              <w:rPr/>
            </w:pPr>
            <w:r>
              <w:rPr>
                <w:rFonts w:cs="Times New Roman" w:ascii="Times New Roman" w:hAnsi="Times New Roman"/>
                <w:i/>
                <w:iCs/>
                <w:szCs w:val="24"/>
              </w:rPr>
              <w:t>Место посадки ТП определить при проектировании, согласовать с заказчиком</w:t>
            </w:r>
          </w:p>
        </w:tc>
      </w:tr>
      <w:tr>
        <w:trPr>
          <w:trHeight w:val="166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ListParagraph"/>
              <w:widowControl/>
              <w:numPr>
                <w:ilvl w:val="0"/>
                <w:numId w:val="1"/>
              </w:numPr>
              <w:tabs>
                <w:tab w:val="left" w:pos="167" w:leader="none"/>
              </w:tabs>
              <w:spacing w:before="0" w:after="200"/>
              <w:ind w:left="786" w:hanging="477"/>
              <w:contextualSpacing/>
              <w:rPr>
                <w:rFonts w:ascii="Calibri" w:hAnsi="Calibri" w:eastAsia="Calibri" w:cs="" w:asciiTheme="minorHAnsi" w:cstheme="minorBidi" w:eastAsiaTheme="minorHAnsi" w:hAnsiTheme="minorHAnsi"/>
                <w:sz w:val="22"/>
                <w:szCs w:val="24"/>
              </w:rPr>
            </w:pPr>
            <w:r>
              <w:rPr>
                <w:rFonts w:eastAsia="Calibri" w:cs="" w:cstheme="minorBidi" w:eastAsiaTheme="minorHAnsi" w:ascii="Calibri" w:hAnsi="Calibri"/>
                <w:sz w:val="22"/>
                <w:szCs w:val="24"/>
              </w:rPr>
            </w:r>
          </w:p>
        </w:tc>
        <w:tc>
          <w:tcPr>
            <w:tcW w:w="36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widowControl w:val="false"/>
              <w:spacing w:lineRule="auto" w:line="240" w:before="0" w:after="0"/>
              <w:rPr/>
            </w:pPr>
            <w:r>
              <w:rPr>
                <w:rFonts w:cs="Times New Roman" w:ascii="Times New Roman" w:hAnsi="Times New Roman"/>
                <w:b/>
                <w:iCs/>
                <w:szCs w:val="24"/>
              </w:rPr>
              <w:t>ЛЭП-0,4 кВ</w:t>
            </w:r>
          </w:p>
          <w:p>
            <w:pPr>
              <w:pStyle w:val="Normal"/>
              <w:widowControl w:val="false"/>
              <w:spacing w:lineRule="auto" w:line="240" w:before="0" w:after="0"/>
              <w:jc w:val="both"/>
              <w:rPr/>
            </w:pPr>
            <w:r>
              <w:rPr>
                <w:rFonts w:cs="Times New Roman" w:ascii="Times New Roman" w:hAnsi="Times New Roman"/>
              </w:rPr>
              <w:t>«Строительство ЛЭП 0,4 кВ от РУ-0,4 кВ проектируемой ТП 10/0,4 кВ до границ участка Заявителя (для потребителя Администрации Шкотовского муниципального района»</w:t>
            </w:r>
          </w:p>
        </w:tc>
        <w:tc>
          <w:tcPr>
            <w:tcW w:w="2422"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spacing w:lineRule="auto" w:line="240" w:before="0" w:after="0"/>
              <w:jc w:val="center"/>
              <w:rPr/>
            </w:pPr>
            <w:r>
              <w:rPr/>
            </w:r>
          </w:p>
        </w:tc>
        <w:tc>
          <w:tcPr>
            <w:tcW w:w="285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33" w:type="dxa"/>
            </w:tcMar>
            <w:vAlign w:val="center"/>
          </w:tcPr>
          <w:p>
            <w:pPr>
              <w:pStyle w:val="Normal"/>
              <w:widowControl w:val="false"/>
              <w:spacing w:lineRule="auto" w:line="240" w:before="0" w:after="0"/>
              <w:jc w:val="center"/>
              <w:rPr/>
            </w:pPr>
            <w:r>
              <w:rPr>
                <w:rFonts w:cs="Times New Roman" w:ascii="Times New Roman" w:hAnsi="Times New Roman"/>
                <w:i/>
                <w:iCs/>
                <w:szCs w:val="24"/>
              </w:rPr>
              <w:t>Протяженность ЛЭП, марку и сечения уточнить при проектировании и согласовать с заказчиком</w:t>
            </w:r>
          </w:p>
        </w:tc>
      </w:tr>
    </w:tbl>
    <w:p>
      <w:pPr>
        <w:pStyle w:val="Normal"/>
        <w:spacing w:lineRule="auto" w:line="240" w:before="0" w:after="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center"/>
        <w:rPr/>
      </w:pPr>
      <w:r>
        <w:rPr>
          <w:rFonts w:eastAsia="Times New Roman" w:cs="Times New Roman" w:ascii="Times New Roman" w:hAnsi="Times New Roman"/>
          <w:b/>
          <w:bCs/>
          <w:sz w:val="28"/>
          <w:szCs w:val="28"/>
          <w:lang w:eastAsia="ru-RU"/>
        </w:rPr>
        <w:t>2. Требования к продукции</w:t>
      </w:r>
    </w:p>
    <w:p>
      <w:pPr>
        <w:pStyle w:val="Normal"/>
        <w:spacing w:lineRule="auto" w:line="240" w:before="0" w:after="0"/>
        <w:jc w:val="both"/>
        <w:rPr>
          <w:rFonts w:ascii="Times New Roman" w:hAnsi="Times New Roman" w:eastAsia="Times New Roman" w:cs="Times New Roman"/>
          <w:b/>
          <w:b/>
          <w:bCs/>
          <w:sz w:val="24"/>
          <w:szCs w:val="24"/>
          <w:lang w:val="x-none" w:eastAsia="ru-RU"/>
        </w:rPr>
      </w:pPr>
      <w:r>
        <w:rPr>
          <w:rFonts w:eastAsia="Times New Roman" w:cs="Times New Roman" w:ascii="Times New Roman" w:hAnsi="Times New Roman"/>
          <w:b/>
          <w:bCs/>
          <w:sz w:val="24"/>
          <w:szCs w:val="24"/>
          <w:lang w:eastAsia="ru-RU"/>
        </w:rPr>
        <w:t xml:space="preserve">2.1.  </w:t>
      </w:r>
      <w:bookmarkStart w:id="9" w:name="_Toc54646404"/>
      <w:r>
        <w:rPr>
          <w:rFonts w:eastAsia="Times New Roman" w:cs="Times New Roman" w:ascii="Times New Roman" w:hAnsi="Times New Roman"/>
          <w:b/>
          <w:bCs/>
          <w:sz w:val="24"/>
          <w:szCs w:val="24"/>
          <w:lang w:val="x-none" w:eastAsia="ru-RU"/>
        </w:rPr>
        <w:t xml:space="preserve">Требования к объемам и срокам </w:t>
      </w:r>
      <w:bookmarkEnd w:id="9"/>
      <w:r>
        <w:rPr>
          <w:rFonts w:eastAsia="Times New Roman" w:cs="Times New Roman" w:ascii="Times New Roman" w:hAnsi="Times New Roman"/>
          <w:b/>
          <w:bCs/>
          <w:sz w:val="24"/>
          <w:szCs w:val="24"/>
          <w:lang w:eastAsia="ru-RU"/>
        </w:rPr>
        <w:t>выполнения работ</w:t>
      </w:r>
    </w:p>
    <w:p>
      <w:pPr>
        <w:pStyle w:val="Normal"/>
        <w:spacing w:lineRule="auto" w:line="240" w:before="0" w:after="120"/>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2.1.1. Требования к видам и объемам работ</w:t>
      </w:r>
    </w:p>
    <w:p>
      <w:pPr>
        <w:pStyle w:val="Normal"/>
        <w:keepNext w:val="true"/>
        <w:keepLines/>
        <w:numPr>
          <w:ilvl w:val="0"/>
          <w:numId w:val="0"/>
        </w:numPr>
        <w:spacing w:lineRule="auto" w:line="240" w:before="240" w:after="0"/>
        <w:outlineLvl w:val="0"/>
        <w:rPr>
          <w:rFonts w:ascii="Times New Roman" w:hAnsi="Times New Roman" w:cs="Times New Roman"/>
          <w:sz w:val="24"/>
          <w:szCs w:val="24"/>
          <w:lang w:eastAsia="x-none"/>
        </w:rPr>
      </w:pPr>
      <w:bookmarkStart w:id="10" w:name="_Toc54646406"/>
      <w:bookmarkStart w:id="11" w:name="_Toc51339695"/>
      <w:r>
        <w:rPr>
          <w:rFonts w:cs="Times New Roman" w:ascii="Times New Roman" w:hAnsi="Times New Roman"/>
          <w:sz w:val="24"/>
          <w:szCs w:val="24"/>
          <w:lang w:val="x-none" w:eastAsia="x-none"/>
        </w:rPr>
        <w:t xml:space="preserve">Таблица </w:t>
      </w:r>
      <w:r>
        <w:rPr>
          <w:rFonts w:cs="Times New Roman" w:ascii="Times New Roman" w:hAnsi="Times New Roman"/>
          <w:sz w:val="24"/>
          <w:szCs w:val="24"/>
          <w:lang w:eastAsia="x-none"/>
        </w:rPr>
        <w:t>2.</w:t>
      </w:r>
      <w:r>
        <w:rPr>
          <w:rFonts w:cs="Times New Roman" w:ascii="Times New Roman" w:hAnsi="Times New Roman"/>
          <w:sz w:val="24"/>
          <w:szCs w:val="24"/>
          <w:lang w:val="x-none" w:eastAsia="x-none"/>
        </w:rPr>
        <w:t xml:space="preserve"> </w:t>
      </w:r>
      <w:r>
        <w:rPr>
          <w:rFonts w:cs="Times New Roman" w:ascii="Times New Roman" w:hAnsi="Times New Roman"/>
          <w:sz w:val="24"/>
          <w:szCs w:val="24"/>
          <w:lang w:eastAsia="x-none"/>
        </w:rPr>
        <w:t xml:space="preserve">  Перечень </w:t>
      </w:r>
      <w:bookmarkEnd w:id="10"/>
      <w:bookmarkEnd w:id="11"/>
      <w:r>
        <w:rPr>
          <w:rFonts w:cs="Times New Roman" w:ascii="Times New Roman" w:hAnsi="Times New Roman"/>
          <w:sz w:val="24"/>
          <w:szCs w:val="24"/>
          <w:lang w:eastAsia="x-none"/>
        </w:rPr>
        <w:t>и объем выполняемых работ</w:t>
      </w:r>
    </w:p>
    <w:tbl>
      <w:tblPr>
        <w:tblW w:w="9526" w:type="dxa"/>
        <w:jc w:val="left"/>
        <w:tblInd w:w="-4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000" w:noVBand="0" w:noHBand="0" w:lastColumn="0" w:firstColumn="0" w:lastRow="0" w:firstRow="0"/>
      </w:tblPr>
      <w:tblGrid>
        <w:gridCol w:w="692"/>
        <w:gridCol w:w="5176"/>
        <w:gridCol w:w="2271"/>
        <w:gridCol w:w="1386"/>
      </w:tblGrid>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keepNext w:val="true"/>
              <w:suppressAutoHyphens w:val="true"/>
              <w:jc w:val="center"/>
              <w:rPr>
                <w:rFonts w:ascii="Times New Roman" w:hAnsi="Times New Roman" w:cs="Times New Roman"/>
                <w:sz w:val="24"/>
                <w:szCs w:val="24"/>
              </w:rPr>
            </w:pPr>
            <w:r>
              <w:rPr>
                <w:rFonts w:cs="Times New Roman" w:ascii="Times New Roman" w:hAnsi="Times New Roman"/>
                <w:sz w:val="24"/>
                <w:szCs w:val="24"/>
              </w:rPr>
              <w:t>№</w:t>
            </w:r>
          </w:p>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п/п</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Наименование работ / этапа работ</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Единица измерения</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keepNext w:val="true"/>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Количество</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2</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3</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rPr>
              <w:t>4</w:t>
            </w:r>
          </w:p>
        </w:tc>
      </w:tr>
      <w:tr>
        <w:trPr>
          <w:trHeight w:val="761"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b/>
                <w:b/>
                <w:sz w:val="24"/>
                <w:szCs w:val="24"/>
              </w:rPr>
            </w:pPr>
            <w:r>
              <w:rPr>
                <w:rFonts w:cs="Times New Roman" w:ascii="Times New Roman" w:hAnsi="Times New Roman"/>
                <w:b/>
                <w:sz w:val="24"/>
                <w:szCs w:val="24"/>
                <w:lang w:val="en-US"/>
              </w:rPr>
              <w:t>1</w:t>
            </w:r>
            <w:r>
              <w:rPr>
                <w:rFonts w:cs="Times New Roman" w:ascii="Times New Roman" w:hAnsi="Times New Roman"/>
                <w:b/>
                <w:sz w:val="24"/>
                <w:szCs w:val="24"/>
              </w:rPr>
              <w:t>.</w:t>
            </w:r>
          </w:p>
        </w:tc>
        <w:tc>
          <w:tcPr>
            <w:tcW w:w="883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rPr>
                <w:rFonts w:ascii="Times New Roman" w:hAnsi="Times New Roman" w:cs="Times New Roman"/>
                <w:b/>
                <w:b/>
                <w:i/>
                <w:i/>
                <w:sz w:val="24"/>
                <w:szCs w:val="24"/>
              </w:rPr>
            </w:pPr>
            <w:r>
              <w:rPr>
                <w:rFonts w:cs="Times New Roman" w:ascii="Times New Roman" w:hAnsi="Times New Roman"/>
                <w:b/>
                <w:sz w:val="24"/>
                <w:szCs w:val="24"/>
              </w:rPr>
              <w:t>ОФОРМЛЕНИЕ ПРАВОУСТАНАВЛИВАЮЩИХ ДОКУМЕНТОВ НА ИСПОЛЬЗОВАНИЕ ЗЕМЕЛЬНЫХ УЧАСТКОВ</w:t>
            </w:r>
          </w:p>
        </w:tc>
      </w:tr>
      <w:tr>
        <w:trPr>
          <w:trHeight w:val="1024"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rPr>
                <w:rStyle w:val="Style22"/>
                <w:rFonts w:ascii="Times New Roman" w:hAnsi="Times New Roman" w:cs="Times New Roman"/>
                <w:i w:val="false"/>
                <w:i w:val="false"/>
                <w:sz w:val="24"/>
                <w:szCs w:val="24"/>
                <w:highlight w:val="white"/>
              </w:rPr>
            </w:pPr>
            <w:r>
              <w:rPr>
                <w:rFonts w:cs="Times New Roman" w:ascii="Times New Roman" w:hAnsi="Times New Roman"/>
                <w:sz w:val="24"/>
                <w:szCs w:val="24"/>
              </w:rPr>
              <w:t>Выезд с представителем АО «ДРСК» на предполагаемое место строительства, для определения трассы объекта;</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Выезд</w:t>
            </w:r>
          </w:p>
        </w:tc>
        <w:tc>
          <w:tcPr>
            <w:tcW w:w="1386"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В полном объеме для каждого объекта таблицы 1</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1.2.</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tabs>
                <w:tab w:val="left" w:pos="633" w:leader="none"/>
              </w:tabs>
              <w:suppressAutoHyphens w:val="true"/>
              <w:spacing w:before="0" w:after="200"/>
              <w:ind w:right="-16" w:hanging="0"/>
              <w:jc w:val="both"/>
              <w:rPr>
                <w:rStyle w:val="Style22"/>
                <w:rFonts w:ascii="Times New Roman" w:hAnsi="Times New Roman" w:cs="Times New Roman"/>
                <w:iCs/>
                <w:sz w:val="24"/>
                <w:szCs w:val="24"/>
              </w:rPr>
            </w:pPr>
            <w:r>
              <w:rPr>
                <w:rFonts w:cs="Times New Roman" w:ascii="Times New Roman" w:hAnsi="Times New Roman"/>
                <w:sz w:val="24"/>
                <w:szCs w:val="24"/>
              </w:rPr>
              <w:t>На основании предварительно выбранного варианта прохождения трассы, получить сведений из Единого государственного реестра недвижимости (ЕГРН) в виде кадастрового плана территорий (КПТ) и (или) выписки об основных характеристиках и зарегистрированных правах на объект недвижимости;</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jc w:val="center"/>
              <w:rPr>
                <w:rFonts w:ascii="Times New Roman" w:hAnsi="Times New Roman" w:cs="Times New Roman"/>
                <w:i/>
                <w:i/>
                <w:sz w:val="24"/>
                <w:szCs w:val="24"/>
              </w:rPr>
            </w:pPr>
            <w:r>
              <w:rPr>
                <w:rFonts w:cs="Times New Roman" w:ascii="Times New Roman" w:hAnsi="Times New Roman"/>
                <w:i/>
                <w:sz w:val="24"/>
                <w:szCs w:val="24"/>
              </w:rPr>
              <w:t>Сведения</w:t>
            </w:r>
          </w:p>
          <w:p>
            <w:pPr>
              <w:pStyle w:val="Normal"/>
              <w:suppressAutoHyphens w:val="true"/>
              <w:jc w:val="center"/>
              <w:rPr>
                <w:rFonts w:ascii="Times New Roman" w:hAnsi="Times New Roman" w:cs="Times New Roman"/>
                <w:i/>
                <w:i/>
                <w:sz w:val="24"/>
                <w:szCs w:val="24"/>
              </w:rPr>
            </w:pPr>
            <w:r>
              <w:rPr>
                <w:rFonts w:cs="Times New Roman" w:ascii="Times New Roman" w:hAnsi="Times New Roman"/>
                <w:i/>
                <w:sz w:val="24"/>
                <w:szCs w:val="24"/>
              </w:rPr>
              <w:t>КПТ,</w:t>
            </w:r>
          </w:p>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выписка из ЕГРН</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.3.</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tabs>
                <w:tab w:val="left" w:pos="567" w:leader="none"/>
              </w:tabs>
              <w:suppressAutoHyphens w:val="true"/>
              <w:ind w:right="-16" w:hanging="0"/>
              <w:jc w:val="both"/>
              <w:rPr>
                <w:rFonts w:ascii="Times New Roman" w:hAnsi="Times New Roman" w:cs="Times New Roman"/>
                <w:sz w:val="24"/>
                <w:szCs w:val="24"/>
              </w:rPr>
            </w:pPr>
            <w:r>
              <w:rPr>
                <w:rFonts w:cs="Times New Roman" w:ascii="Times New Roman" w:hAnsi="Times New Roman"/>
                <w:sz w:val="24"/>
                <w:szCs w:val="24"/>
              </w:rPr>
              <w:t>Подготовить и направить на согласование Заказчику схему обзорного плана объекта. Заказчик согласовывает план трассы, а также определяет правовой титул оформления правоустанавливающих документов на использование земельных участков.</w:t>
            </w:r>
          </w:p>
          <w:p>
            <w:pPr>
              <w:pStyle w:val="Normal"/>
              <w:tabs>
                <w:tab w:val="left" w:pos="633" w:leader="none"/>
              </w:tabs>
              <w:suppressAutoHyphens w:val="true"/>
              <w:spacing w:before="0" w:after="200"/>
              <w:ind w:right="-16" w:hanging="0"/>
              <w:jc w:val="both"/>
              <w:rPr>
                <w:rFonts w:ascii="Times New Roman" w:hAnsi="Times New Roman" w:cs="Times New Roman"/>
                <w:sz w:val="24"/>
                <w:szCs w:val="24"/>
              </w:rPr>
            </w:pPr>
            <w:r>
              <w:rPr>
                <w:rFonts w:cs="Times New Roman" w:ascii="Times New Roman" w:hAnsi="Times New Roman"/>
                <w:sz w:val="24"/>
                <w:szCs w:val="24"/>
              </w:rPr>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Обзорный план трассы на кадастровом плане территории</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.4.</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tabs>
                <w:tab w:val="left" w:pos="993" w:leader="none"/>
              </w:tabs>
              <w:suppressAutoHyphens w:val="true"/>
              <w:ind w:right="-16" w:hanging="0"/>
              <w:jc w:val="both"/>
              <w:rPr>
                <w:rFonts w:ascii="Times New Roman" w:hAnsi="Times New Roman" w:cs="Times New Roman"/>
                <w:sz w:val="24"/>
                <w:szCs w:val="24"/>
              </w:rPr>
            </w:pPr>
            <w:r>
              <w:rPr>
                <w:rFonts w:cs="Times New Roman" w:ascii="Times New Roman" w:hAnsi="Times New Roman"/>
                <w:sz w:val="24"/>
                <w:szCs w:val="24"/>
              </w:rPr>
              <w:t>Совместно с Заказчиком согласовать место размещения объекта с организациями - сетедержателями;</w:t>
            </w:r>
          </w:p>
          <w:p>
            <w:pPr>
              <w:pStyle w:val="Normal"/>
              <w:tabs>
                <w:tab w:val="left" w:pos="567" w:leader="none"/>
              </w:tabs>
              <w:suppressAutoHyphens w:val="true"/>
              <w:spacing w:before="0" w:after="200"/>
              <w:ind w:right="-16" w:hanging="0"/>
              <w:jc w:val="both"/>
              <w:rPr>
                <w:rFonts w:ascii="Times New Roman" w:hAnsi="Times New Roman" w:cs="Times New Roman"/>
                <w:sz w:val="24"/>
                <w:szCs w:val="24"/>
              </w:rPr>
            </w:pPr>
            <w:r>
              <w:rPr>
                <w:rFonts w:cs="Times New Roman" w:ascii="Times New Roman" w:hAnsi="Times New Roman"/>
                <w:sz w:val="24"/>
                <w:szCs w:val="24"/>
              </w:rPr>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t>Согласование (технические условия на пересечения)</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rHeight w:val="1408"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.5.</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tabs>
                <w:tab w:val="left" w:pos="993" w:leader="none"/>
              </w:tabs>
              <w:suppressAutoHyphens w:val="true"/>
              <w:ind w:right="-16" w:hanging="0"/>
              <w:jc w:val="both"/>
              <w:rPr>
                <w:rFonts w:ascii="Times New Roman" w:hAnsi="Times New Roman" w:cs="Times New Roman"/>
                <w:sz w:val="24"/>
                <w:szCs w:val="24"/>
              </w:rPr>
            </w:pPr>
            <w:r>
              <w:rPr>
                <w:rFonts w:cs="Times New Roman" w:ascii="Times New Roman" w:hAnsi="Times New Roman"/>
                <w:sz w:val="24"/>
                <w:szCs w:val="24"/>
              </w:rPr>
              <w:t>В случае, прохождения трассы объекта строительства, по землям или земельным участкам, находящимся в государственной или муниципальной собственности, без прав третьих лиц,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(с использованием системы координат МСК-25).</w:t>
            </w:r>
          </w:p>
          <w:p>
            <w:pPr>
              <w:pStyle w:val="Normal"/>
              <w:tabs>
                <w:tab w:val="left" w:pos="3318" w:leader="none"/>
              </w:tabs>
              <w:spacing w:before="0" w:after="200"/>
              <w:jc w:val="both"/>
              <w:rPr>
                <w:rFonts w:ascii="Times New Roman" w:hAnsi="Times New Roman" w:cs="Times New Roman"/>
                <w:sz w:val="24"/>
                <w:szCs w:val="24"/>
              </w:rPr>
            </w:pPr>
            <w:r>
              <w:rPr>
                <w:rFonts w:cs="Times New Roman" w:ascii="Times New Roman" w:hAnsi="Times New Roman"/>
                <w:sz w:val="24"/>
                <w:szCs w:val="24"/>
              </w:rPr>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before="0" w:after="0"/>
              <w:jc w:val="center"/>
              <w:rPr>
                <w:rFonts w:ascii="Times New Roman" w:hAnsi="Times New Roman" w:cs="Times New Roman"/>
                <w:i/>
                <w:i/>
                <w:sz w:val="24"/>
                <w:szCs w:val="24"/>
              </w:rPr>
            </w:pPr>
            <w:r>
              <w:rPr>
                <w:rFonts w:cs="Times New Roman" w:ascii="Times New Roman" w:hAnsi="Times New Roman"/>
                <w:i/>
                <w:sz w:val="24"/>
                <w:szCs w:val="24"/>
              </w:rPr>
              <w:t>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.6.</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tabs>
                <w:tab w:val="left" w:pos="3318" w:leader="none"/>
              </w:tabs>
              <w:spacing w:before="0" w:after="200"/>
              <w:jc w:val="both"/>
              <w:rPr>
                <w:rFonts w:ascii="Times New Roman" w:hAnsi="Times New Roman" w:cs="Times New Roman"/>
                <w:sz w:val="24"/>
                <w:szCs w:val="24"/>
              </w:rPr>
            </w:pPr>
            <w:r>
              <w:rPr>
                <w:rFonts w:cs="Times New Roman" w:ascii="Times New Roman" w:hAnsi="Times New Roman"/>
                <w:sz w:val="24"/>
                <w:szCs w:val="24"/>
              </w:rPr>
              <w:t>Подготовить и направить заявление о выдаче разрешения на размещение объекта в исполнительный орган власти или орган местного самоуправления.</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before="0" w:after="200"/>
              <w:jc w:val="center"/>
              <w:rPr>
                <w:rFonts w:ascii="Times New Roman" w:hAnsi="Times New Roman" w:cs="Times New Roman"/>
                <w:i/>
                <w:i/>
                <w:sz w:val="24"/>
                <w:szCs w:val="24"/>
              </w:rPr>
            </w:pPr>
            <w:r>
              <w:rPr>
                <w:rFonts w:cs="Times New Roman" w:ascii="Times New Roman" w:hAnsi="Times New Roman"/>
                <w:i/>
                <w:sz w:val="24"/>
                <w:szCs w:val="24"/>
              </w:rPr>
              <w:t>Заявление</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rPr>
              <w:t>1.7.</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tabs>
                <w:tab w:val="left" w:pos="3318" w:leader="none"/>
              </w:tabs>
              <w:spacing w:before="0" w:after="200"/>
              <w:jc w:val="both"/>
              <w:rPr>
                <w:rFonts w:ascii="Times New Roman" w:hAnsi="Times New Roman" w:cs="Times New Roman"/>
                <w:i/>
                <w:i/>
                <w:sz w:val="24"/>
                <w:szCs w:val="24"/>
              </w:rPr>
            </w:pPr>
            <w:r>
              <w:rPr>
                <w:rFonts w:cs="Times New Roman" w:ascii="Times New Roman" w:hAnsi="Times New Roman"/>
                <w:sz w:val="24"/>
                <w:szCs w:val="24"/>
              </w:rPr>
              <w:t>В случае, прохождения трассы объекта строительства, планируемого к расположению на части земельных участков, находящихся в государственной и муниципальной собственности, в пользовании третьих лиц, а также в собственности физических, юридических лиц</w:t>
            </w:r>
            <w:r>
              <w:rPr>
                <w:rFonts w:cs="Times New Roman" w:ascii="Times New Roman" w:hAnsi="Times New Roman"/>
                <w:b/>
                <w:sz w:val="24"/>
                <w:szCs w:val="24"/>
              </w:rPr>
              <w:t xml:space="preserve"> </w:t>
            </w:r>
            <w:r>
              <w:rPr>
                <w:rFonts w:cs="Times New Roman" w:ascii="Times New Roman" w:hAnsi="Times New Roman"/>
                <w:sz w:val="24"/>
                <w:szCs w:val="24"/>
              </w:rPr>
              <w:t xml:space="preserve">подготовить и передать Заказчику в форме электронного документа сведений о границах территории, в отношении которой устанавливается публичный сервитут (далее - границы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МСК-25 </w:t>
            </w:r>
            <w:r>
              <w:rPr>
                <w:rFonts w:cs="Times New Roman" w:ascii="Times New Roman" w:hAnsi="Times New Roman"/>
                <w:i/>
                <w:sz w:val="24"/>
                <w:szCs w:val="24"/>
              </w:rPr>
              <w:t xml:space="preserve">(в соответствии с требованиями приказа Федеральной службы государственной регистрации, кадастра и картографии от 13 января 2021 г. N П/0004). </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iCs/>
                <w:sz w:val="24"/>
                <w:szCs w:val="24"/>
              </w:rPr>
              <w:t>Графическое описание местоположения границ публичного сервитута, ходатайство об установлении публичного сервитута</w:t>
            </w:r>
            <w:r>
              <w:rPr>
                <w:rFonts w:cs="Times New Roman" w:ascii="Times New Roman" w:hAnsi="Times New Roman"/>
                <w:i/>
                <w:sz w:val="24"/>
                <w:szCs w:val="24"/>
              </w:rPr>
              <w:t xml:space="preserve"> </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lang w:val="en-US"/>
              </w:rPr>
            </w:pPr>
            <w:r>
              <w:rPr>
                <w:rFonts w:cs="Times New Roman" w:ascii="Times New Roman" w:hAnsi="Times New Roman"/>
                <w:sz w:val="24"/>
                <w:szCs w:val="24"/>
                <w:lang w:val="en-US"/>
              </w:rPr>
              <w:t>1</w:t>
            </w:r>
            <w:r>
              <w:rPr>
                <w:rFonts w:cs="Times New Roman" w:ascii="Times New Roman" w:hAnsi="Times New Roman"/>
                <w:sz w:val="24"/>
                <w:szCs w:val="24"/>
              </w:rPr>
              <w:t>.8.</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before="0" w:after="200"/>
              <w:jc w:val="both"/>
              <w:rPr>
                <w:rFonts w:ascii="Times New Roman" w:hAnsi="Times New Roman" w:cs="Times New Roman"/>
                <w:sz w:val="24"/>
                <w:szCs w:val="24"/>
              </w:rPr>
            </w:pPr>
            <w:r>
              <w:rPr>
                <w:rFonts w:cs="Times New Roman" w:ascii="Times New Roman" w:hAnsi="Times New Roman"/>
                <w:sz w:val="24"/>
                <w:szCs w:val="24"/>
              </w:rPr>
              <w:t>В случае, прохождения трассы объекта строительства, планируемого к расположению на части лесного участка, находящегося в государственной собственности, в пользовании третьих лиц, подготовить и передать Заказчику графическое описание местоположения границ, соглашение об установлении сервитута на части лесного участка, проект освоения лесов</w:t>
            </w:r>
            <w:r>
              <w:rPr>
                <w:rFonts w:cs="Times New Roman" w:ascii="Times New Roman" w:hAnsi="Times New Roman"/>
                <w:i/>
                <w:sz w:val="24"/>
                <w:szCs w:val="24"/>
              </w:rPr>
              <w:t>,</w:t>
            </w:r>
            <w:r>
              <w:rPr>
                <w:rFonts w:cs="Times New Roman" w:ascii="Times New Roman" w:hAnsi="Times New Roman"/>
                <w:sz w:val="24"/>
                <w:szCs w:val="24"/>
              </w:rPr>
              <w:t xml:space="preserve"> отчеты в установленной форме, работы по лесовосстановлению или лесоразведению на площади равной вырубке лесных насаждений</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before="0" w:after="200"/>
              <w:jc w:val="center"/>
              <w:rPr>
                <w:rFonts w:ascii="Times New Roman" w:hAnsi="Times New Roman" w:cs="Times New Roman"/>
                <w:i/>
                <w:i/>
                <w:iCs/>
                <w:sz w:val="24"/>
                <w:szCs w:val="24"/>
              </w:rPr>
            </w:pPr>
            <w:r>
              <w:rPr>
                <w:rFonts w:cs="Times New Roman" w:ascii="Times New Roman" w:hAnsi="Times New Roman"/>
                <w:i/>
                <w:iCs/>
                <w:sz w:val="24"/>
                <w:szCs w:val="24"/>
              </w:rPr>
              <w:t>Графическое описание местоположения границ, соглашение об установлении сервитута на части лесного участка, проект освоения лесов, лесная декларация отчеты, проект лесовосстановления или лесоразведения лесных насаждений.</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200"/>
              <w:jc w:val="center"/>
              <w:rPr>
                <w:rFonts w:ascii="Times New Roman" w:hAnsi="Times New Roman" w:cs="Times New Roman"/>
                <w:sz w:val="24"/>
                <w:szCs w:val="24"/>
              </w:rPr>
            </w:pPr>
            <w:r>
              <w:rPr>
                <w:rFonts w:cs="Times New Roman" w:ascii="Times New Roman" w:hAnsi="Times New Roman"/>
                <w:sz w:val="24"/>
                <w:szCs w:val="24"/>
                <w:lang w:val="en-US"/>
              </w:rPr>
              <w:t>1</w:t>
            </w:r>
            <w:r>
              <w:rPr>
                <w:rFonts w:cs="Times New Roman" w:ascii="Times New Roman" w:hAnsi="Times New Roman"/>
                <w:sz w:val="24"/>
                <w:szCs w:val="24"/>
              </w:rPr>
              <w:t xml:space="preserve">.9. </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before="0" w:after="200"/>
              <w:jc w:val="both"/>
              <w:rPr>
                <w:rFonts w:ascii="Times New Roman" w:hAnsi="Times New Roman" w:cs="Times New Roman"/>
                <w:bCs/>
                <w:sz w:val="24"/>
                <w:szCs w:val="24"/>
              </w:rPr>
            </w:pPr>
            <w:r>
              <w:rPr>
                <w:rFonts w:cs="Times New Roman" w:ascii="Times New Roman" w:hAnsi="Times New Roman"/>
                <w:sz w:val="24"/>
                <w:szCs w:val="24"/>
              </w:rPr>
              <w:t>Закрепление на местности границ земельного участка, в отношении которого получено разрешение на использование земель, решение об установлении публичного сервитута.</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before="0" w:after="200"/>
              <w:jc w:val="center"/>
              <w:rPr>
                <w:rFonts w:ascii="Times New Roman" w:hAnsi="Times New Roman" w:cs="Times New Roman"/>
                <w:i/>
                <w:i/>
                <w:sz w:val="24"/>
                <w:szCs w:val="24"/>
              </w:rPr>
            </w:pPr>
            <w:r>
              <w:rPr>
                <w:rFonts w:cs="Times New Roman" w:ascii="Times New Roman" w:hAnsi="Times New Roman"/>
                <w:i/>
                <w:iCs/>
                <w:sz w:val="24"/>
                <w:szCs w:val="24"/>
              </w:rPr>
              <w:t>Акт закрепления границ земельного участка на местности</w:t>
            </w:r>
          </w:p>
        </w:tc>
        <w:tc>
          <w:tcPr>
            <w:tcW w:w="1386"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uppressAutoHyphens w:val="true"/>
              <w:spacing w:before="0" w:after="200"/>
              <w:jc w:val="center"/>
              <w:rPr>
                <w:rFonts w:ascii="Times New Roman" w:hAnsi="Times New Roman" w:cs="Times New Roman"/>
                <w:i/>
                <w:i/>
                <w:sz w:val="24"/>
                <w:szCs w:val="24"/>
              </w:rPr>
            </w:pPr>
            <w:r>
              <w:rPr>
                <w:rFonts w:cs="Times New Roman" w:ascii="Times New Roman" w:hAnsi="Times New Roman"/>
                <w:i/>
                <w:sz w:val="24"/>
                <w:szCs w:val="24"/>
              </w:rPr>
            </w:r>
          </w:p>
        </w:tc>
      </w:tr>
      <w:tr>
        <w:trPr>
          <w:trHeight w:val="384" w:hRule="atLeast"/>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jc w:val="center"/>
              <w:rPr>
                <w:rFonts w:ascii="Times New Roman" w:hAnsi="Times New Roman" w:cs="Times New Roman"/>
                <w:b/>
                <w:b/>
                <w:sz w:val="24"/>
                <w:szCs w:val="24"/>
              </w:rPr>
            </w:pPr>
            <w:r>
              <w:rPr>
                <w:rFonts w:cs="Times New Roman" w:ascii="Times New Roman" w:hAnsi="Times New Roman"/>
                <w:b/>
                <w:sz w:val="24"/>
                <w:szCs w:val="24"/>
                <w:lang w:val="en-US"/>
              </w:rPr>
              <w:t>2</w:t>
            </w:r>
            <w:r>
              <w:rPr>
                <w:rFonts w:cs="Times New Roman" w:ascii="Times New Roman" w:hAnsi="Times New Roman"/>
                <w:b/>
                <w:sz w:val="24"/>
                <w:szCs w:val="24"/>
              </w:rPr>
              <w:t>.</w:t>
            </w:r>
          </w:p>
        </w:tc>
        <w:tc>
          <w:tcPr>
            <w:tcW w:w="883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rPr/>
            </w:pPr>
            <w:r>
              <w:rPr>
                <w:rFonts w:cs="Times New Roman" w:ascii="Times New Roman" w:hAnsi="Times New Roman"/>
                <w:b/>
                <w:sz w:val="24"/>
                <w:szCs w:val="24"/>
              </w:rPr>
              <w:t>ВЫПОЛНЕНИЕ ПРОЕКТНО-ИЗЫСКАТЕЛЬСКИХ РАБОТ</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rPr>
                <w:rFonts w:ascii="Times New Roman" w:hAnsi="Times New Roman" w:cs="Times New Roman"/>
                <w:sz w:val="24"/>
                <w:szCs w:val="24"/>
                <w:lang w:val="en-US"/>
              </w:rPr>
            </w:pPr>
            <w:r>
              <w:rPr>
                <w:rFonts w:cs="Times New Roman" w:ascii="Times New Roman" w:hAnsi="Times New Roman"/>
                <w:sz w:val="24"/>
                <w:szCs w:val="24"/>
              </w:rPr>
              <w:t>2.1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rPr>
                <w:highlight w:val="yellow"/>
              </w:rPr>
            </w:pPr>
            <w:r>
              <w:rPr>
                <w:rFonts w:ascii="Times New Roman" w:hAnsi="Times New Roman"/>
                <w:sz w:val="24"/>
                <w:szCs w:val="24"/>
              </w:rPr>
              <w:t xml:space="preserve">Выполнить комплекс инженерных изысканий в объеме достаточном для разработки документации. </w:t>
            </w:r>
          </w:p>
          <w:p>
            <w:pPr>
              <w:pStyle w:val="Normal"/>
              <w:suppressAutoHyphens w:val="true"/>
              <w:spacing w:before="0" w:after="0"/>
              <w:rPr/>
            </w:pPr>
            <w:r>
              <w:rPr>
                <w:rFonts w:ascii="Times New Roman" w:hAnsi="Times New Roman"/>
                <w:sz w:val="24"/>
                <w:szCs w:val="24"/>
              </w:rPr>
              <w:t>Выполнить рабочую документацию по объекту:</w:t>
            </w:r>
          </w:p>
          <w:p>
            <w:pPr>
              <w:pStyle w:val="Normal"/>
              <w:widowControl w:val="false"/>
              <w:tabs>
                <w:tab w:val="left" w:pos="0" w:leader="none"/>
                <w:tab w:val="left" w:pos="2040" w:leader="none"/>
              </w:tabs>
              <w:suppressAutoHyphens w:val="true"/>
              <w:spacing w:before="0" w:after="0"/>
              <w:contextualSpacing/>
              <w:jc w:val="both"/>
              <w:rPr/>
            </w:pPr>
            <w:r>
              <w:rPr>
                <w:rFonts w:ascii="Times New Roman" w:hAnsi="Times New Roman"/>
                <w:sz w:val="24"/>
                <w:szCs w:val="24"/>
              </w:rPr>
              <w:t>Строительство ЛЭП 10 кВ, ТП 6/0,4 кВ, ЛЭП 0,4 кВ и монтаж системы коммерческого учёта электроэнергии (для потребителя Администрация Шкотовского муниципального района);</w:t>
            </w:r>
          </w:p>
          <w:p>
            <w:pPr>
              <w:pStyle w:val="Normal"/>
              <w:widowControl w:val="false"/>
              <w:tabs>
                <w:tab w:val="left" w:pos="0" w:leader="none"/>
                <w:tab w:val="left" w:pos="2040" w:leader="none"/>
              </w:tabs>
              <w:suppressAutoHyphens w:val="true"/>
              <w:spacing w:before="0" w:after="0"/>
              <w:contextualSpacing/>
              <w:jc w:val="both"/>
              <w:rPr/>
            </w:pPr>
            <w:r>
              <w:rPr>
                <w:rFonts w:eastAsia="Calibri" w:ascii="Times New Roman" w:hAnsi="Times New Roman" w:eastAsiaTheme="minorHAnsi"/>
                <w:sz w:val="24"/>
                <w:szCs w:val="24"/>
              </w:rPr>
              <w:t>Строительство ЛЭП 10 кВ, ТП 10/0,4 кВ, ЛЭП 0,4 кВ и монтаж системы коммерческого учёта электроэнергии (для потребителя Администрации Шктовского муниципального района.</w:t>
            </w:r>
          </w:p>
        </w:tc>
        <w:tc>
          <w:tcPr>
            <w:tcW w:w="227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jc w:val="center"/>
              <w:rPr>
                <w:rFonts w:ascii="Times New Roman" w:hAnsi="Times New Roman" w:cs="Times New Roman"/>
                <w:i/>
                <w:i/>
                <w:sz w:val="24"/>
                <w:szCs w:val="24"/>
              </w:rPr>
            </w:pPr>
            <w:r>
              <w:rPr>
                <w:rFonts w:cs="Times New Roman" w:ascii="Times New Roman" w:hAnsi="Times New Roman"/>
                <w:i/>
                <w:sz w:val="24"/>
                <w:szCs w:val="24"/>
              </w:rPr>
              <w:t>Условная единица (Комплект)</w:t>
            </w:r>
          </w:p>
        </w:tc>
        <w:tc>
          <w:tcPr>
            <w:tcW w:w="13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jc w:val="center"/>
              <w:rPr>
                <w:rFonts w:ascii="Times New Roman" w:hAnsi="Times New Roman" w:cs="Times New Roman"/>
                <w:i/>
                <w:i/>
                <w:sz w:val="24"/>
                <w:szCs w:val="24"/>
                <w:lang w:val="en-US"/>
              </w:rPr>
            </w:pPr>
            <w:r>
              <w:rPr>
                <w:rFonts w:cs="Times New Roman" w:ascii="Times New Roman" w:hAnsi="Times New Roman"/>
                <w:i/>
                <w:sz w:val="24"/>
                <w:szCs w:val="24"/>
                <w:lang w:val="en-US"/>
              </w:rPr>
              <w:t>1</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rPr>
                <w:rFonts w:ascii="Times New Roman" w:hAnsi="Times New Roman" w:cs="Times New Roman"/>
                <w:sz w:val="24"/>
                <w:szCs w:val="24"/>
              </w:rPr>
            </w:pPr>
            <w:r>
              <w:rPr>
                <w:rFonts w:cs="Times New Roman" w:ascii="Times New Roman" w:hAnsi="Times New Roman"/>
                <w:sz w:val="24"/>
                <w:szCs w:val="24"/>
              </w:rPr>
              <w:t>3</w:t>
            </w:r>
          </w:p>
        </w:tc>
        <w:tc>
          <w:tcPr>
            <w:tcW w:w="883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rPr>
                <w:rFonts w:ascii="Times New Roman" w:hAnsi="Times New Roman" w:cs="Times New Roman"/>
                <w:i/>
                <w:i/>
                <w:sz w:val="24"/>
                <w:szCs w:val="24"/>
              </w:rPr>
            </w:pPr>
            <w:r>
              <w:rPr>
                <w:rFonts w:cs="Times New Roman" w:ascii="Times New Roman" w:hAnsi="Times New Roman"/>
                <w:b/>
                <w:sz w:val="24"/>
                <w:szCs w:val="24"/>
              </w:rPr>
              <w:t>ПРОВЕДЕНИЕ СТРОИТЕЛЬНО-МОНТАЖНЫХ РАБОТ</w:t>
            </w:r>
          </w:p>
        </w:tc>
      </w:tr>
      <w:tr>
        <w:trPr/>
        <w:tc>
          <w:tcPr>
            <w:tcW w:w="69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rPr>
                <w:rFonts w:ascii="Times New Roman" w:hAnsi="Times New Roman" w:eastAsia="Calibri" w:eastAsiaTheme="minorHAnsi"/>
                <w:sz w:val="24"/>
                <w:szCs w:val="24"/>
              </w:rPr>
            </w:pPr>
            <w:r>
              <w:rPr>
                <w:rFonts w:cs="Times New Roman" w:ascii="Times New Roman" w:hAnsi="Times New Roman"/>
                <w:sz w:val="24"/>
                <w:szCs w:val="24"/>
              </w:rPr>
              <w:t>3.1</w:t>
            </w:r>
          </w:p>
        </w:tc>
        <w:tc>
          <w:tcPr>
            <w:tcW w:w="517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widowControl w:val="false"/>
              <w:tabs>
                <w:tab w:val="left" w:pos="0" w:leader="none"/>
                <w:tab w:val="left" w:pos="2040" w:leader="none"/>
              </w:tabs>
              <w:suppressAutoHyphens w:val="true"/>
              <w:spacing w:before="0" w:after="0"/>
              <w:contextualSpacing/>
              <w:jc w:val="both"/>
              <w:rPr/>
            </w:pPr>
            <w:r>
              <w:rPr>
                <w:rFonts w:ascii="Times New Roman" w:hAnsi="Times New Roman"/>
                <w:sz w:val="24"/>
                <w:szCs w:val="24"/>
              </w:rPr>
              <w:t>Строительство ЛЭП 10 кВ, ТП 6/0,4 кВ, ЛЭП 0,4 кВ и монтаж системы коммерческого учёта электроэнергии (для потребителя Администрация Шкотовского муниципального района);</w:t>
            </w:r>
          </w:p>
          <w:p>
            <w:pPr>
              <w:pStyle w:val="Normal"/>
              <w:widowControl w:val="false"/>
              <w:tabs>
                <w:tab w:val="left" w:pos="0" w:leader="none"/>
                <w:tab w:val="left" w:pos="2040" w:leader="none"/>
              </w:tabs>
              <w:suppressAutoHyphens w:val="true"/>
              <w:spacing w:before="0" w:after="0"/>
              <w:contextualSpacing/>
              <w:jc w:val="both"/>
              <w:rPr/>
            </w:pPr>
            <w:r>
              <w:rPr>
                <w:rFonts w:eastAsia="Calibri" w:ascii="Times New Roman" w:hAnsi="Times New Roman" w:eastAsiaTheme="minorHAnsi"/>
                <w:iCs/>
                <w:sz w:val="24"/>
                <w:szCs w:val="24"/>
              </w:rPr>
              <w:t>Строительство ЛЭП 10 кВ, ТП 10/0,4 кВ, ЛЭП 0,4 кВ и монтаж системы коммерческого учёта электроэнергии (для потребителя Администрации Шктовского муниципального района.</w:t>
            </w:r>
          </w:p>
        </w:tc>
        <w:tc>
          <w:tcPr>
            <w:tcW w:w="365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uppressAutoHyphens w:val="true"/>
              <w:spacing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В соответствии с разработанной РД</w:t>
            </w:r>
          </w:p>
        </w:tc>
      </w:tr>
    </w:tbl>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2.1.2. Требования к срокам выполнения работ</w:t>
      </w:r>
    </w:p>
    <w:p>
      <w:pPr>
        <w:pStyle w:val="Normal"/>
        <w:spacing w:lineRule="auto" w:line="240" w:before="0" w:after="0"/>
        <w:jc w:val="both"/>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t>Таблица 3. Требования по срокам выполнения работ</w:t>
      </w:r>
    </w:p>
    <w:tbl>
      <w:tblPr>
        <w:tblW w:w="9497" w:type="dxa"/>
        <w:jc w:val="left"/>
        <w:tblInd w:w="-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4a0" w:noVBand="1" w:noHBand="0" w:lastColumn="0" w:firstColumn="1" w:lastRow="0" w:firstRow="1"/>
      </w:tblPr>
      <w:tblGrid>
        <w:gridCol w:w="566"/>
        <w:gridCol w:w="3831"/>
        <w:gridCol w:w="2097"/>
        <w:gridCol w:w="3002"/>
      </w:tblGrid>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п/п</w:t>
            </w:r>
          </w:p>
        </w:tc>
        <w:tc>
          <w:tcPr>
            <w:tcW w:w="38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Наименование работ/ этапа работ</w:t>
            </w:r>
          </w:p>
        </w:tc>
        <w:tc>
          <w:tcPr>
            <w:tcW w:w="20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началу срока выполнения работ/ этапа работ</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окончанию срока выполнения работ / этапа работ</w:t>
            </w:r>
          </w:p>
        </w:tc>
      </w:tr>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8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20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w:t>
            </w:r>
          </w:p>
        </w:tc>
      </w:tr>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before="0" w:after="20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8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rPr>
                <w:rFonts w:ascii="Times New Roman" w:hAnsi="Times New Roman" w:eastAsia="Times New Roman" w:cs="Times New Roman"/>
                <w:sz w:val="24"/>
                <w:szCs w:val="24"/>
                <w:highlight w:val="yellow"/>
                <w:lang w:eastAsia="ru-RU"/>
              </w:rPr>
            </w:pPr>
            <w:r>
              <w:rPr>
                <w:rFonts w:eastAsia="Times New Roman" w:cs="Times New Roman" w:ascii="Times New Roman" w:hAnsi="Times New Roman"/>
                <w:sz w:val="24"/>
                <w:szCs w:val="24"/>
                <w:lang w:eastAsia="ru-RU"/>
              </w:rPr>
              <w:t xml:space="preserve">Оформление правоустанавливающих документов на земельные участки </w:t>
            </w:r>
          </w:p>
        </w:tc>
        <w:tc>
          <w:tcPr>
            <w:tcW w:w="20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начала действия договора подряда</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В течение 45 календарных дней </w:t>
            </w:r>
          </w:p>
        </w:tc>
      </w:tr>
      <w:tr>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38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Разработка, согласование с Заказчиком рабочей документации</w:t>
            </w:r>
          </w:p>
        </w:tc>
        <w:tc>
          <w:tcPr>
            <w:tcW w:w="20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начала действия договора подряда</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В течение 45 календарных дней </w:t>
            </w:r>
          </w:p>
        </w:tc>
      </w:tr>
      <w:tr>
        <w:trPr>
          <w:trHeight w:val="674" w:hRule="atLeast"/>
        </w:trPr>
        <w:tc>
          <w:tcPr>
            <w:tcW w:w="56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c>
          <w:tcPr>
            <w:tcW w:w="383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Проведение строительно-монтажных работ</w:t>
            </w:r>
          </w:p>
        </w:tc>
        <w:tc>
          <w:tcPr>
            <w:tcW w:w="20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С начала действия договора подряда</w:t>
            </w:r>
          </w:p>
        </w:tc>
        <w:tc>
          <w:tcPr>
            <w:tcW w:w="300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spacing w:lineRule="auto" w:line="240" w:before="0" w:after="0"/>
              <w:jc w:val="center"/>
              <w:rPr/>
            </w:pPr>
            <w:r>
              <w:rPr>
                <w:rFonts w:eastAsia="Times New Roman" w:cs="Times New Roman" w:ascii="Times New Roman" w:hAnsi="Times New Roman"/>
                <w:i/>
                <w:sz w:val="24"/>
                <w:szCs w:val="24"/>
                <w:lang w:eastAsia="ru-RU"/>
              </w:rPr>
              <w:t>В течение 90 календарных дней</w:t>
            </w:r>
          </w:p>
          <w:p>
            <w:pPr>
              <w:pStyle w:val="Normal"/>
              <w:spacing w:lineRule="auto" w:line="240" w:before="0" w:after="0"/>
              <w:jc w:val="center"/>
              <w:rPr>
                <w:rFonts w:ascii="Times New Roman" w:hAnsi="Times New Roman" w:cs="Times New Roman"/>
                <w:i/>
                <w:i/>
                <w:sz w:val="24"/>
                <w:szCs w:val="24"/>
              </w:rPr>
            </w:pPr>
            <w:r>
              <w:rPr>
                <w:rFonts w:cs="Times New Roman" w:ascii="Times New Roman" w:hAnsi="Times New Roman"/>
                <w:i/>
                <w:sz w:val="24"/>
                <w:szCs w:val="24"/>
              </w:rPr>
            </w:r>
          </w:p>
        </w:tc>
      </w:tr>
    </w:tbl>
    <w:p>
      <w:pPr>
        <w:sectPr>
          <w:footerReference w:type="default" r:id="rId2"/>
          <w:type w:val="nextPage"/>
          <w:pgSz w:w="11906" w:h="16838"/>
          <w:pgMar w:left="1701" w:right="850" w:header="0" w:top="993" w:footer="708" w:bottom="765" w:gutter="0"/>
          <w:pgNumType w:fmt="decimal"/>
          <w:formProt w:val="false"/>
          <w:textDirection w:val="lrTb"/>
          <w:docGrid w:type="default" w:linePitch="360" w:charSpace="4294965247"/>
        </w:sect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r>
    </w:p>
    <w:p>
      <w:p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t>2.2. Требования к качеству работ</w:t>
      </w:r>
    </w:p>
    <w:p>
      <w:pPr>
        <w:pStyle w:val="Normal"/>
        <w:keepNext w:val="true"/>
        <w:keepLines/>
        <w:numPr>
          <w:ilvl w:val="0"/>
          <w:numId w:val="0"/>
        </w:numPr>
        <w:spacing w:lineRule="auto" w:line="240" w:before="0" w:after="0"/>
        <w:outlineLvl w:val="0"/>
        <w:rPr>
          <w:rFonts w:ascii="Times New Roman" w:hAnsi="Times New Roman" w:cs="Times New Roman"/>
          <w:sz w:val="24"/>
          <w:szCs w:val="24"/>
          <w:lang w:eastAsia="x-none"/>
        </w:rPr>
      </w:pPr>
      <w:r>
        <w:rPr>
          <w:rFonts w:cs="Times New Roman" w:ascii="Times New Roman" w:hAnsi="Times New Roman"/>
          <w:sz w:val="24"/>
          <w:szCs w:val="24"/>
          <w:lang w:val="x-none" w:eastAsia="x-none"/>
        </w:rPr>
        <w:t>Таблица</w:t>
      </w:r>
      <w:r>
        <w:rPr>
          <w:rFonts w:cs="Times New Roman" w:ascii="Times New Roman" w:hAnsi="Times New Roman"/>
          <w:sz w:val="24"/>
          <w:szCs w:val="24"/>
          <w:lang w:eastAsia="x-none"/>
        </w:rPr>
        <w:t xml:space="preserve"> 4</w:t>
      </w:r>
      <w:r>
        <w:rPr>
          <w:rFonts w:cs="Times New Roman" w:ascii="Times New Roman" w:hAnsi="Times New Roman"/>
          <w:sz w:val="24"/>
          <w:szCs w:val="24"/>
          <w:lang w:val="x-none" w:eastAsia="x-none"/>
        </w:rPr>
        <w:t xml:space="preserve">. Требования к </w:t>
      </w:r>
      <w:r>
        <w:rPr>
          <w:rFonts w:cs="Times New Roman" w:ascii="Times New Roman" w:hAnsi="Times New Roman"/>
          <w:sz w:val="24"/>
          <w:szCs w:val="24"/>
          <w:lang w:eastAsia="x-none"/>
        </w:rPr>
        <w:t>качеству работ</w:t>
      </w:r>
    </w:p>
    <w:p>
      <w:pPr>
        <w:pStyle w:val="Normal"/>
        <w:keepNext w:val="true"/>
        <w:keepLines/>
        <w:numPr>
          <w:ilvl w:val="0"/>
          <w:numId w:val="0"/>
        </w:numPr>
        <w:spacing w:lineRule="auto" w:line="240" w:before="0" w:after="0"/>
        <w:outlineLvl w:val="0"/>
        <w:rPr>
          <w:rFonts w:ascii="Times New Roman" w:hAnsi="Times New Roman" w:cs="Times New Roman"/>
          <w:color w:val="002060"/>
          <w:sz w:val="24"/>
          <w:szCs w:val="24"/>
          <w:lang w:val="x-none" w:eastAsia="x-none"/>
        </w:rPr>
      </w:pPr>
      <w:r>
        <w:rPr>
          <w:rFonts w:cs="Times New Roman" w:ascii="Times New Roman" w:hAnsi="Times New Roman"/>
          <w:sz w:val="24"/>
          <w:szCs w:val="24"/>
          <w:lang w:eastAsia="x-none"/>
        </w:rPr>
        <w:t>Наименование работ:</w:t>
      </w:r>
      <w:r>
        <w:rPr>
          <w:rFonts w:cs="Times New Roman" w:ascii="Times New Roman" w:hAnsi="Times New Roman"/>
          <w:sz w:val="24"/>
          <w:szCs w:val="24"/>
          <w:lang w:val="x-none" w:eastAsia="x-none"/>
        </w:rPr>
        <w:t xml:space="preserve"> </w:t>
      </w:r>
      <w:r>
        <w:rPr>
          <w:rFonts w:cs="Times New Roman" w:ascii="Times New Roman" w:hAnsi="Times New Roman"/>
          <w:sz w:val="24"/>
          <w:szCs w:val="24"/>
          <w:lang w:eastAsia="x-none"/>
        </w:rPr>
        <w:t>«Оформление ПУД, подготовка РД, выполнение СМР»</w:t>
      </w:r>
    </w:p>
    <w:tbl>
      <w:tblPr>
        <w:tblStyle w:val="affe"/>
        <w:tblpPr w:bottomFromText="0" w:horzAnchor="text" w:leftFromText="180" w:rightFromText="180" w:tblpX="-5" w:tblpY="1" w:topFromText="0" w:vertAnchor="text"/>
        <w:tblW w:w="16013" w:type="dxa"/>
        <w:jc w:val="left"/>
        <w:tblInd w:w="0" w:type="dxa"/>
        <w:tblCellMar>
          <w:top w:w="0" w:type="dxa"/>
          <w:left w:w="-5" w:type="dxa"/>
          <w:bottom w:w="0" w:type="dxa"/>
          <w:right w:w="28" w:type="dxa"/>
        </w:tblCellMar>
        <w:tblLook w:val="04a0" w:noVBand="1" w:noHBand="0" w:lastColumn="0" w:firstColumn="1" w:lastRow="0" w:firstRow="1"/>
      </w:tblPr>
      <w:tblGrid>
        <w:gridCol w:w="563"/>
        <w:gridCol w:w="2455"/>
        <w:gridCol w:w="6"/>
        <w:gridCol w:w="29"/>
        <w:gridCol w:w="9597"/>
        <w:gridCol w:w="1526"/>
        <w:gridCol w:w="1837"/>
      </w:tblGrid>
      <w:tr>
        <w:trPr/>
        <w:tc>
          <w:tcPr>
            <w:tcW w:w="563" w:type="dxa"/>
            <w:vMerge w:val="restart"/>
            <w:tcBorders/>
            <w:shd w:color="auto" w:fill="auto" w:val="clear"/>
            <w:tcMar>
              <w:left w:w="-5"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2461" w:type="dxa"/>
            <w:gridSpan w:val="2"/>
            <w:vMerge w:val="restart"/>
            <w:tcBorders/>
            <w:shd w:color="auto" w:fill="auto" w:val="clear"/>
            <w:tcMar>
              <w:left w:w="-5"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Наименование параметра</w:t>
            </w:r>
          </w:p>
        </w:tc>
        <w:tc>
          <w:tcPr>
            <w:tcW w:w="9626" w:type="dxa"/>
            <w:gridSpan w:val="2"/>
            <w:vMerge w:val="restart"/>
            <w:tcBorders/>
            <w:shd w:color="auto" w:fill="auto" w:val="clear"/>
            <w:tcMar>
              <w:left w:w="-5"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Требование заказчика</w:t>
            </w:r>
          </w:p>
        </w:tc>
        <w:tc>
          <w:tcPr>
            <w:tcW w:w="3363" w:type="dxa"/>
            <w:gridSpan w:val="2"/>
            <w:tcBorders/>
            <w:shd w:color="auto" w:fill="auto" w:val="clear"/>
            <w:tcMar>
              <w:left w:w="-5" w:type="dxa"/>
              <w:right w:w="108" w:type="dxa"/>
            </w:tcMar>
            <w:vAlign w:val="center"/>
          </w:tcPr>
          <w:p>
            <w:pPr>
              <w:pStyle w:val="Normal"/>
              <w:spacing w:lineRule="auto" w:line="240" w:before="0" w:after="0"/>
              <w:jc w:val="center"/>
              <w:rPr>
                <w:b/>
                <w:b/>
                <w:bCs/>
              </w:rPr>
            </w:pPr>
            <w:r>
              <w:rPr>
                <w:rFonts w:eastAsia="Times New Roman" w:cs="Times New Roman" w:ascii="Times New Roman" w:hAnsi="Times New Roman"/>
                <w:b/>
                <w:bCs/>
                <w:sz w:val="20"/>
                <w:szCs w:val="20"/>
                <w:lang w:eastAsia="ru-RU"/>
              </w:rPr>
              <w:t>Способ подтверждения участником соответствия требованиям</w:t>
            </w:r>
          </w:p>
        </w:tc>
      </w:tr>
      <w:tr>
        <w:trPr/>
        <w:tc>
          <w:tcPr>
            <w:tcW w:w="563" w:type="dxa"/>
            <w:vMerge w:val="continue"/>
            <w:tcBorders/>
            <w:shd w:color="auto" w:fill="auto" w:val="clear"/>
            <w:tcMar>
              <w:left w:w="-5" w:type="dxa"/>
            </w:tcMar>
            <w:vAlign w:val="cente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2461" w:type="dxa"/>
            <w:gridSpan w:val="2"/>
            <w:vMerge w:val="continue"/>
            <w:tcBorders/>
            <w:shd w:color="auto" w:fill="auto" w:val="clear"/>
            <w:tcMar>
              <w:left w:w="-5" w:type="dxa"/>
              <w:right w:w="108" w:type="dxa"/>
            </w:tcMar>
            <w:vAlign w:val="cente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9626" w:type="dxa"/>
            <w:gridSpan w:val="2"/>
            <w:vMerge w:val="continue"/>
            <w:tcBorders/>
            <w:shd w:color="auto" w:fill="auto" w:val="clear"/>
            <w:tcMar>
              <w:left w:w="-5" w:type="dxa"/>
              <w:right w:w="108" w:type="dxa"/>
            </w:tcMar>
            <w:vAlign w:val="cente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526" w:type="dxa"/>
            <w:tcBorders/>
            <w:shd w:color="auto" w:fill="auto" w:val="clear"/>
            <w:tcMar>
              <w:left w:w="-5" w:type="dxa"/>
              <w:right w:w="108" w:type="dxa"/>
            </w:tcMar>
            <w:vAlign w:val="center"/>
          </w:tcPr>
          <w:p>
            <w:pPr>
              <w:pStyle w:val="Normal"/>
              <w:spacing w:lineRule="auto" w:line="240" w:before="0" w:after="0"/>
              <w:jc w:val="center"/>
              <w:rPr>
                <w:b/>
                <w:b/>
                <w:bCs/>
              </w:rPr>
            </w:pPr>
            <w:r>
              <w:rPr>
                <w:rFonts w:eastAsia="Times New Roman" w:cs="Times New Roman" w:ascii="Times New Roman" w:hAnsi="Times New Roman"/>
                <w:b/>
                <w:bCs/>
                <w:sz w:val="20"/>
                <w:szCs w:val="20"/>
                <w:lang w:eastAsia="ru-RU"/>
              </w:rPr>
              <w:t>Согласие с требованием/ указание характеристик</w:t>
            </w:r>
          </w:p>
        </w:tc>
        <w:tc>
          <w:tcPr>
            <w:tcW w:w="1837" w:type="dxa"/>
            <w:tcBorders/>
            <w:shd w:color="auto" w:fill="auto" w:val="clear"/>
            <w:tcMar>
              <w:left w:w="-5" w:type="dxa"/>
              <w:right w:w="108" w:type="dxa"/>
            </w:tcMar>
            <w:vAlign w:val="center"/>
          </w:tcPr>
          <w:p>
            <w:pPr>
              <w:pStyle w:val="Normal"/>
              <w:spacing w:lineRule="auto" w:line="240" w:before="0" w:after="0"/>
              <w:jc w:val="center"/>
              <w:rPr>
                <w:b/>
                <w:b/>
                <w:bCs/>
              </w:rPr>
            </w:pPr>
            <w:r>
              <w:rPr>
                <w:rFonts w:eastAsia="Times New Roman" w:cs="Times New Roman" w:ascii="Times New Roman" w:hAnsi="Times New Roman"/>
                <w:b/>
                <w:bCs/>
                <w:sz w:val="20"/>
                <w:szCs w:val="20"/>
                <w:lang w:eastAsia="ru-RU"/>
              </w:rPr>
              <w:t>Предоставление подтверждающего документа или иной способ подтверждения</w:t>
            </w:r>
          </w:p>
        </w:tc>
      </w:tr>
      <w:tr>
        <w:trPr/>
        <w:tc>
          <w:tcPr>
            <w:tcW w:w="563" w:type="dxa"/>
            <w:tcBorders/>
            <w:shd w:color="auto" w:fill="auto" w:val="clear"/>
            <w:tcMar>
              <w:left w:w="-5"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w:t>
            </w:r>
          </w:p>
        </w:tc>
        <w:tc>
          <w:tcPr>
            <w:tcW w:w="2461" w:type="dxa"/>
            <w:gridSpan w:val="2"/>
            <w:tcBorders/>
            <w:shd w:color="auto" w:fill="auto" w:val="clear"/>
            <w:tcMar>
              <w:left w:w="-5"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w:t>
            </w:r>
          </w:p>
        </w:tc>
        <w:tc>
          <w:tcPr>
            <w:tcW w:w="9626" w:type="dxa"/>
            <w:gridSpan w:val="2"/>
            <w:tcBorders/>
            <w:shd w:color="auto" w:fill="auto" w:val="clear"/>
            <w:tcMar>
              <w:left w:w="-5"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3</w:t>
            </w:r>
          </w:p>
        </w:tc>
        <w:tc>
          <w:tcPr>
            <w:tcW w:w="1526" w:type="dxa"/>
            <w:tcBorders/>
            <w:shd w:color="auto" w:fill="auto" w:val="clear"/>
            <w:tcMar>
              <w:left w:w="-5"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4</w:t>
            </w:r>
          </w:p>
        </w:tc>
        <w:tc>
          <w:tcPr>
            <w:tcW w:w="1837" w:type="dxa"/>
            <w:tcBorders/>
            <w:shd w:color="auto" w:fill="auto" w:val="clear"/>
            <w:tcMar>
              <w:left w:w="-5" w:type="dxa"/>
              <w:right w:w="108" w:type="dxa"/>
            </w:tcMar>
            <w:vAlign w:val="cente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5</w:t>
            </w:r>
          </w:p>
        </w:tc>
      </w:tr>
      <w:tr>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w:t>
            </w:r>
          </w:p>
        </w:tc>
        <w:tc>
          <w:tcPr>
            <w:tcW w:w="15450" w:type="dxa"/>
            <w:gridSpan w:val="6"/>
            <w:tcBorders/>
            <w:shd w:color="auto" w:fill="auto" w:val="clear"/>
            <w:tcMar>
              <w:left w:w="-5"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выполнению работ</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w:t>
            </w:r>
          </w:p>
        </w:tc>
        <w:tc>
          <w:tcPr>
            <w:tcW w:w="12087" w:type="dxa"/>
            <w:gridSpan w:val="4"/>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both"/>
              <w:rPr>
                <w:b/>
                <w:b/>
                <w:sz w:val="24"/>
                <w:szCs w:val="24"/>
              </w:rPr>
            </w:pPr>
            <w:r>
              <w:rPr>
                <w:rFonts w:eastAsia="Times New Roman" w:cs="Times New Roman" w:ascii="Times New Roman" w:hAnsi="Times New Roman"/>
                <w:b/>
                <w:sz w:val="24"/>
                <w:szCs w:val="24"/>
                <w:lang w:eastAsia="ru-RU"/>
              </w:rPr>
              <w:t>Общие требования выполнения работ</w:t>
            </w:r>
          </w:p>
        </w:tc>
        <w:tc>
          <w:tcPr>
            <w:tcW w:w="1526" w:type="dx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c>
          <w:tcPr>
            <w:tcW w:w="1837" w:type="dx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1.1.1</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кадастровых работ</w:t>
            </w:r>
          </w:p>
        </w:tc>
        <w:tc>
          <w:tcPr>
            <w:tcW w:w="9632" w:type="dxa"/>
            <w:gridSpan w:val="3"/>
            <w:tcBorders/>
            <w:shd w:color="auto" w:fill="auto" w:val="clear"/>
            <w:tcMar>
              <w:left w:w="-5" w:type="dxa"/>
              <w:right w:w="108" w:type="dxa"/>
            </w:tcMar>
          </w:tcPr>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При выполнении работ руководствоваться: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 Земельным кодексом Российской Федерации;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2. Градостроительным кодексом РФ;</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3. Гражданским кодексом РФ;</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4. Лесным кодексом РФ;</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5. Федеральным законом от 13.07.2015 № 218-ФЗ «О государственной регистрации недвижимости»;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6. Федеральный закон от 24.07.2007 г. № 221-ФЗ «О кадастровой деятельности»;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7. Федеральным законом от 30.12.2015 N 431-ФЗ «О геодезии, картографии и пространственных данных и о внесении изменений в отдельные законодательные акты Российской Федерации»;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8. Приказом Росреестра от 20.10.2020 N П/0387 «Об утверждении Порядка установления местных систем координат».</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9. Приказом Росреестра от 19.04.2022 N П/0150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10.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11.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12.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13. Постановлением Правительства РФ от 24.11.2016 N 1240 «Об установлении государственных систем координат, государственной системы высот и государственной гравиметрической системы»;</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15. Нормами отвода земель, для электрических сетей напряжением 0,38-750 кВ № 14278тм-т1;</w:t>
            </w:r>
          </w:p>
          <w:p>
            <w:pPr>
              <w:pStyle w:val="ListParagraph"/>
              <w:tabs>
                <w:tab w:val="left" w:pos="466" w:leader="none"/>
              </w:tabs>
              <w:ind w:left="324" w:hanging="0"/>
              <w:jc w:val="both"/>
              <w:rPr>
                <w:sz w:val="24"/>
                <w:szCs w:val="24"/>
              </w:rPr>
            </w:pPr>
            <w:r>
              <w:rPr>
                <w:iCs/>
                <w:spacing w:val="-7"/>
                <w:sz w:val="24"/>
                <w:szCs w:val="24"/>
              </w:rPr>
              <w:t>16.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tc>
        <w:tc>
          <w:tcPr>
            <w:tcW w:w="1526"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1.1.2</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sz w:val="24"/>
                <w:szCs w:val="24"/>
                <w:lang w:eastAsia="ru-RU"/>
              </w:rPr>
              <w:t>Требования к оформлению ПУД</w:t>
            </w:r>
          </w:p>
        </w:tc>
        <w:tc>
          <w:tcPr>
            <w:tcW w:w="9632" w:type="dxa"/>
            <w:gridSpan w:val="3"/>
            <w:tcBorders/>
            <w:shd w:color="auto" w:fill="auto" w:val="clear"/>
            <w:tcMar>
              <w:left w:w="-5" w:type="dxa"/>
              <w:right w:w="108" w:type="dxa"/>
            </w:tcMar>
          </w:tcPr>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1.  ПУД на ЗУ должны быть выданы уполномоченным органом власти и быть действующими, в период реализации объекта.</w:t>
            </w:r>
          </w:p>
          <w:p>
            <w:pPr>
              <w:pStyle w:val="Standard"/>
              <w:shd w:val="clear" w:color="auto" w:fill="FFFFFF"/>
              <w:ind w:firstLine="567"/>
              <w:jc w:val="both"/>
              <w:rPr/>
            </w:pPr>
            <w:r>
              <w:rPr>
                <w:rFonts w:ascii="Times New Roman" w:hAnsi="Times New Roman"/>
                <w:iCs/>
                <w:spacing w:val="-7"/>
                <w:sz w:val="24"/>
                <w:szCs w:val="24"/>
              </w:rPr>
              <w:t>2. Сведения о границах сервитута, включающие графическое описание местоположения границ публичного сервитута, и перечень координат характерных точек этих границ изготовить в соответствии с приказом Минэкономразвития России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в электронном формате на CD диске в формате XML.</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3. Ходатайство об установлении публичного сервитута подготовить в соответствии с Приказом Росреестра от 19.04.2022 N П/0150 (ред. от 18.10.2022)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4. Графическое описание местоположения границ, соглашение об установлении сервитута на части лесного участка изготовить в количестве 2 (двух) экземплярах на бумажном носителе и в форме электронного документа в виде файлов в формате *pdf (графическая часть) и *.doc (текстовая часть).</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5. Проект освоения лесов в соответствии с Приказом Минприроды России от 16.11.2021 N 864 «Об утверждении Состава проекта освоения лесов, порядка его разработки и внесения в него изменений, требований к формату проекта освоения лесов в форме электронного документа».</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6. Лесная декларация в соответствии с Приказом Минприроды России от 29.04.2021 N 303 «Об утверждении формы лесной декларации, порядка ее заполнения и подачи, требований к формату лесной декларации в электронной форме», отчеты в установленной форме (1 ИЛ, 1 ОЛ, 1 ЗЛ, 1 ВЛ и др).</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7. Проект лесовосстановления в соответствии с Приказом Минприроды России от 29.12.2021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8. Графическую информацию оформить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9. Координаты границ формируемых земельных участков определяются в системе   МСК-25.</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xml:space="preserve">10.  В случае получения Заказчиком отказа на выдачу разрешений на использование земель для размещения вышеуказанных объектов от органа местного самоуправления,  уполномоченного на предоставление земельных участков, находящихся в государственной или муниципальной собственности в связи с нарушениями требований при изготовлении схемы границ предполагаемых к использованию земель или части земельного участка на кадастровом плане территории, Подрядчик обязан откорректировать указанные документы в течение 3-х дней  с момента получения от Заказчика письменного уведомления о подготовке необходимой корректировки.  </w:t>
            </w:r>
          </w:p>
          <w:p>
            <w:pPr>
              <w:pStyle w:val="ListParagraph"/>
              <w:tabs>
                <w:tab w:val="left" w:pos="1069" w:leader="none"/>
              </w:tabs>
              <w:ind w:left="0" w:firstLine="643"/>
              <w:jc w:val="both"/>
              <w:rPr>
                <w:iCs/>
                <w:spacing w:val="-7"/>
                <w:sz w:val="24"/>
                <w:szCs w:val="24"/>
              </w:rPr>
            </w:pPr>
            <w:r>
              <w:rPr>
                <w:iCs/>
                <w:spacing w:val="-7"/>
                <w:sz w:val="24"/>
                <w:szCs w:val="24"/>
              </w:rPr>
              <w:t>11. Разрешения на использование земель или земельного участка должны быть подготовлены с учетом требований Постановления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pPr>
              <w:pStyle w:val="ListParagraph"/>
              <w:tabs>
                <w:tab w:val="left" w:pos="1069" w:leader="none"/>
              </w:tabs>
              <w:ind w:left="0" w:firstLine="643"/>
              <w:jc w:val="both"/>
              <w:rPr>
                <w:iCs/>
                <w:spacing w:val="-7"/>
                <w:sz w:val="24"/>
                <w:szCs w:val="24"/>
                <w:lang w:val="ru-RU"/>
              </w:rPr>
            </w:pPr>
            <w:r>
              <w:rPr>
                <w:iCs/>
                <w:spacing w:val="-7"/>
                <w:sz w:val="24"/>
                <w:szCs w:val="24"/>
                <w:lang w:val="ru-RU"/>
              </w:rPr>
              <w:t>12. В случае п. 1.7 таблицы № 2, обзорный план трассы с пояснительной запиской предоставляется по форме Приложения 4.</w:t>
            </w:r>
          </w:p>
          <w:p>
            <w:pPr>
              <w:pStyle w:val="ListParagraph"/>
              <w:tabs>
                <w:tab w:val="left" w:pos="1069" w:leader="none"/>
              </w:tabs>
              <w:ind w:left="0" w:firstLine="657"/>
              <w:jc w:val="both"/>
              <w:rPr>
                <w:sz w:val="24"/>
                <w:szCs w:val="24"/>
                <w:lang w:eastAsia="ru-RU"/>
              </w:rPr>
            </w:pPr>
            <w:r>
              <w:rPr>
                <w:sz w:val="24"/>
                <w:szCs w:val="24"/>
                <w:lang w:val="ru-RU" w:eastAsia="ru-RU"/>
              </w:rPr>
              <w:t xml:space="preserve">13. </w:t>
            </w:r>
            <w:r>
              <w:rPr>
                <w:sz w:val="24"/>
                <w:szCs w:val="24"/>
                <w:lang w:eastAsia="ru-RU"/>
              </w:rPr>
              <w:t xml:space="preserve">Информация об объемах лесных насаждениях, подлежащих вырубке, оформляется по форме Приложения </w:t>
            </w:r>
            <w:r>
              <w:rPr>
                <w:sz w:val="24"/>
                <w:szCs w:val="24"/>
                <w:lang w:val="ru-RU" w:eastAsia="ru-RU"/>
              </w:rPr>
              <w:t>5</w:t>
            </w:r>
            <w:r>
              <w:rPr>
                <w:sz w:val="24"/>
                <w:szCs w:val="24"/>
                <w:lang w:eastAsia="ru-RU"/>
              </w:rPr>
              <w:t>.</w:t>
            </w:r>
          </w:p>
          <w:p>
            <w:pPr>
              <w:pStyle w:val="ListParagraph"/>
              <w:tabs>
                <w:tab w:val="left" w:pos="1069" w:leader="none"/>
              </w:tabs>
              <w:ind w:left="0" w:firstLine="657"/>
              <w:jc w:val="both"/>
              <w:rPr>
                <w:sz w:val="24"/>
                <w:szCs w:val="24"/>
                <w:lang w:eastAsia="ru-RU"/>
              </w:rPr>
            </w:pPr>
            <w:r>
              <w:rPr>
                <w:sz w:val="24"/>
                <w:szCs w:val="24"/>
                <w:lang w:val="ru-RU" w:eastAsia="ru-RU"/>
              </w:rPr>
              <w:t>14.</w:t>
            </w:r>
            <w:r>
              <w:rPr>
                <w:sz w:val="24"/>
                <w:szCs w:val="24"/>
                <w:lang w:eastAsia="ru-RU"/>
              </w:rPr>
              <w:t xml:space="preserve"> Информация о виде рекультивации земельного участка оформляется по форме Приложения </w:t>
            </w:r>
            <w:r>
              <w:rPr>
                <w:sz w:val="24"/>
                <w:szCs w:val="24"/>
                <w:lang w:val="ru-RU" w:eastAsia="ru-RU"/>
              </w:rPr>
              <w:t>6</w:t>
            </w:r>
            <w:r>
              <w:rPr>
                <w:sz w:val="24"/>
                <w:szCs w:val="24"/>
                <w:lang w:eastAsia="ru-RU"/>
              </w:rPr>
              <w:t>.</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1.1.3</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sz w:val="24"/>
                <w:szCs w:val="24"/>
                <w:lang w:eastAsia="ru-RU"/>
              </w:rPr>
              <w:t>Соблюдение требований технических регламентов, иных нормативных правовых актов и (или) нормативных документов при выполнении проектных работ</w:t>
            </w:r>
          </w:p>
        </w:tc>
        <w:tc>
          <w:tcPr>
            <w:tcW w:w="9632" w:type="dxa"/>
            <w:gridSpan w:val="3"/>
            <w:tcBorders/>
            <w:shd w:color="auto" w:fill="auto" w:val="clear"/>
            <w:tcMar>
              <w:left w:w="-5" w:type="dxa"/>
              <w:right w:w="108" w:type="dxa"/>
            </w:tcMar>
          </w:tcPr>
          <w:p>
            <w:pPr>
              <w:pStyle w:val="Standard"/>
              <w:widowControl w:val="false"/>
              <w:tabs>
                <w:tab w:val="left" w:pos="0" w:leader="none"/>
              </w:tabs>
              <w:jc w:val="both"/>
              <w:rPr>
                <w:rFonts w:ascii="Times New Roman" w:hAnsi="Times New Roman"/>
                <w:sz w:val="24"/>
                <w:szCs w:val="24"/>
              </w:rPr>
            </w:pPr>
            <w:r>
              <w:rPr>
                <w:rFonts w:ascii="Times New Roman" w:hAnsi="Times New Roman"/>
                <w:sz w:val="24"/>
                <w:szCs w:val="24"/>
              </w:rPr>
              <w:t>Основные нормативно-технические документы (НТД), определяющие требования к проектной и рабочей документации: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Градостроительный кодекс РФ;</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ФЗ «Об охране окружающей среды» от 10.01.2002 № 7-ФЗ (действующая редакция);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ФЗ от 22.07.2008 № 123-ФЗ «Технический регламент о требованиях пожарной безопасности» (действующая редакция);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ФЗ «Об электроэнергетике» от 26.03.2003 № 35-ФЗ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Постановление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Постановление Правительства РФ от 16.02.2008г. № 87 «О составе разделов проектной документации и требованиях к их содержанию»;</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Постановление Правительства РФ от 19 января 2006 г. N 20 «Об инженерных изысканиях для подготовки проектной документации, строительства, реконструкции объектов капитального строительства»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21.101-2020 Система проектной документации для строительства. Основные требования к проектной и рабочей документации;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56302-2014 «Единая энергетическая система и изолированно работающие энергосистемы. Оперативно-диспетчерское управление. Диспетчерские наименования объектов электроэнергетики и оборудования объектов электроэнергетики. Общие требования»;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Национальный стандарт Российской Федерации ГОСТ Р 56303-2014 «Единая энергетическая система и изолированно работающие энергосистемы. Оперативно-диспетчерское управление. Нормальные схемы электрических соединений объектов электроэнергетики. Общие требования к графическому исполнению»;</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МДС 12-81.2007 Методические рекомендации по разработке и оформлению проекта организации строительства и проекта производства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Приказ Минстроя от 04.08.2020 N421/пр,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pPr>
              <w:pStyle w:val="Standard"/>
              <w:widowControl w:val="false"/>
              <w:tabs>
                <w:tab w:val="left" w:pos="0" w:leader="none"/>
              </w:tabs>
              <w:ind w:firstLine="567"/>
              <w:jc w:val="both"/>
              <w:rPr/>
            </w:pPr>
            <w:r>
              <w:rPr>
                <w:rFonts w:ascii="Times New Roman" w:hAnsi="Times New Roman"/>
                <w:bCs/>
                <w:sz w:val="24"/>
                <w:szCs w:val="24"/>
              </w:rPr>
              <w:t>•</w:t>
            </w:r>
            <w:r>
              <w:rPr>
                <w:rFonts w:ascii="Times New Roman" w:hAnsi="Times New Roman"/>
                <w:bCs/>
                <w:sz w:val="24"/>
                <w:szCs w:val="24"/>
              </w:rPr>
              <w:tab/>
              <w:t>Приказ Министерства энергетики РФ от 4.10.2022 № 1070 «Об утверждении правил технической эксплуатации электрических станций и сетей Российской Федерации»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ПУЭ (действующее издание);</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ПТЭ (действующее издание);</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Требования к обеспечению надежности электроэнергетических систем, надежности и безопасности объектов электроэнергетики и энергопринимающих установок «Методические указания по устойчивости энергосистем», утвержденные приказом Минэнерго РФ от 03.08.2018 № 630;</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РД 153-34.0-20.409-99 «Руководящие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и техническому перевооружению»;</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 48.13330.2019. Организация строительства (с изменениями);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 47.13330.2016. Свод правил. Инженерные изыскания для строительства. Основные положения;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СП 317.1325800.2017. Инженерно-геодезические изыскания для строительства. Общие правила производства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Техническая политика Группы РусГидро;</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Региональные карты климатического районирования (РККР) Приморского края, утвержденные Приказами АО «ДРСК» №163 от 15.04.2021 и №346 от 18.10.2021 считать приоритетными относительно других источников аналогичной информации (Правила устройства электроустановок; РККР, разработанные ГУ «Главная геофизическая обсерватория им. А.И. Воейкова» и др.)</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w:t>
            </w:r>
            <w:r>
              <w:rPr>
                <w:rFonts w:ascii="Times New Roman" w:hAnsi="Times New Roman"/>
                <w:bCs/>
                <w:sz w:val="24"/>
                <w:szCs w:val="24"/>
              </w:rPr>
              <w:tab/>
              <w:t>Правила технологического функционирования электроэнергетических систем, утвержденные Постановление Правительства РФ от 13.08.2018 № 937;</w:t>
            </w:r>
          </w:p>
          <w:p>
            <w:pPr>
              <w:pStyle w:val="ListParagraph"/>
              <w:tabs>
                <w:tab w:val="left" w:pos="785" w:leader="none"/>
              </w:tabs>
              <w:ind w:left="0" w:firstLine="324"/>
              <w:jc w:val="both"/>
              <w:rPr>
                <w:sz w:val="24"/>
                <w:szCs w:val="24"/>
                <w:lang w:eastAsia="ru-RU"/>
              </w:rPr>
            </w:pPr>
            <w:r>
              <w:rPr>
                <w:bCs/>
                <w:sz w:val="24"/>
                <w:szCs w:val="24"/>
              </w:rPr>
              <w:t>Данный список НТД не является полным и окончательным. При проектировании необходимо руководствоваться последними редакциями нормативно-технических и законодательных документов РФ, необходимых и действующих на момент разработки проектной документации.</w:t>
            </w:r>
          </w:p>
        </w:tc>
        <w:tc>
          <w:tcPr>
            <w:tcW w:w="1526"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1.1.4</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sz w:val="24"/>
                <w:szCs w:val="24"/>
              </w:rPr>
            </w:pPr>
            <w:r>
              <w:rPr>
                <w:rFonts w:eastAsia="Times New Roman" w:cs="Times New Roman" w:ascii="Times New Roman" w:hAnsi="Times New Roman"/>
                <w:i/>
                <w:iCs/>
                <w:spacing w:val="4"/>
                <w:sz w:val="24"/>
                <w:szCs w:val="24"/>
                <w:lang w:eastAsia="ru-RU"/>
              </w:rPr>
              <w:t>Требования к выполнению рабочей документации</w:t>
            </w:r>
          </w:p>
        </w:tc>
        <w:tc>
          <w:tcPr>
            <w:tcW w:w="9632" w:type="dxa"/>
            <w:gridSpan w:val="3"/>
            <w:tcBorders/>
            <w:shd w:color="auto" w:fill="auto" w:val="clear"/>
            <w:tcMar>
              <w:left w:w="-5" w:type="dxa"/>
              <w:right w:w="108" w:type="dxa"/>
            </w:tcMar>
          </w:tcPr>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1. Р</w:t>
            </w:r>
            <w:r>
              <w:rPr>
                <w:rFonts w:ascii="Times New Roman" w:hAnsi="Times New Roman"/>
                <w:spacing w:val="-4"/>
                <w:sz w:val="24"/>
                <w:szCs w:val="24"/>
              </w:rPr>
              <w:t xml:space="preserve">абочую документацию выполнить в соответствии с Техническими условиями </w:t>
            </w:r>
            <w:r>
              <w:rPr>
                <w:rFonts w:ascii="Times New Roman" w:hAnsi="Times New Roman"/>
                <w:i/>
                <w:iCs/>
                <w:spacing w:val="-4"/>
                <w:sz w:val="24"/>
                <w:szCs w:val="24"/>
              </w:rPr>
              <w:t>(Приложение № 1).</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2. Подрядчику на этапе предварительного согласования трассы ЛЭП, получить от лица Заказчика все необходимые согласования и/или технические условия на пересечение, сближение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w:t>
            </w:r>
          </w:p>
          <w:p>
            <w:pPr>
              <w:pStyle w:val="Standard"/>
              <w:widowControl w:val="false"/>
              <w:tabs>
                <w:tab w:val="left" w:pos="0" w:leader="none"/>
              </w:tabs>
              <w:ind w:firstLine="567"/>
              <w:jc w:val="both"/>
              <w:rPr>
                <w:rFonts w:ascii="Times New Roman" w:hAnsi="Times New Roman"/>
                <w:sz w:val="24"/>
                <w:szCs w:val="24"/>
              </w:rPr>
            </w:pPr>
            <w:r>
              <w:rPr>
                <w:rFonts w:ascii="Times New Roman" w:hAnsi="Times New Roman"/>
                <w:bCs/>
                <w:sz w:val="24"/>
                <w:szCs w:val="24"/>
              </w:rPr>
              <w:t xml:space="preserve">3.  </w:t>
            </w:r>
            <w:r>
              <w:rPr>
                <w:rFonts w:ascii="Times New Roman" w:hAnsi="Times New Roman"/>
                <w:b/>
                <w:bCs/>
                <w:i/>
                <w:sz w:val="24"/>
                <w:szCs w:val="24"/>
              </w:rPr>
              <w:t>Согласовать письменно с Заказчиком трассу ЛЭП до начала выполнения рабочей документации.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4.  Подрядчик должен оформить проектную документацию в объеме, необходимом для постановки объекта на кадастровый учет и рабочую документацию в объеме, необходимом для производства строительно-монтажных и пусконаладочных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5. Рабочую документацию согласовать со всеми сторонними организациями, чьи интересы затрагиваются в части пересечений, сближений и параллельные следования трассы ЛЭП с инженерными сетями, автодорогами и другими преградами сторонних организаций, попадающих в полосу отвода строительства ЛЭП, у которых получены технические условия и/или согласования.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6. Рабочая документация оформляется в трех экземплярах. Подрядчик должен согласовать разработанную рабочую документацию в соответствующем РЭС и СП (что подтверждается подписью и печатью начальника РЭС, и ответственного лица в СП на титульном листе проекта и на плане проектируемых электросетей) и передать по акту приемки-передачи в подразделения заказчика в соответствии с</w:t>
            </w:r>
            <w:r>
              <w:rPr>
                <w:rFonts w:ascii="Times New Roman" w:hAnsi="Times New Roman"/>
                <w:bCs/>
                <w:i/>
                <w:iCs/>
                <w:sz w:val="24"/>
                <w:szCs w:val="24"/>
              </w:rPr>
              <w:t xml:space="preserve"> порядком п.2.3.2. настоящей таблицы.</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7. Состав РД:</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пояснительная записка с описанием трассы (климатические условия района, начальная точка трассы, конечная точка трассы, количество пересечений с инженерными сооружениями);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обзорная схема объекта;</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однолинейная схема объекта;</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сечение и марки провода/кабеля на основании длительно-допустимых и аварийно-допустимых значений токовой нагрузки с расчетами;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ведомость объемов работ;</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ведомость заземляющих устройств;</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ведомость пересечений;</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схема электрических сетей;</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спецификация материалов и оборудования;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расчёт контура заземления, расчёт потерь напряжения и выбор сечения ЛЭП, расчёт ЛЭП на отключение при КЗ;</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габаритные и установочные чертежи;</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 расчеты по выбору и проверке оборудования.</w:t>
            </w:r>
          </w:p>
          <w:p>
            <w:pPr>
              <w:pStyle w:val="Standard"/>
              <w:widowControl w:val="false"/>
              <w:tabs>
                <w:tab w:val="left" w:pos="0" w:leader="none"/>
              </w:tabs>
              <w:ind w:firstLine="567"/>
              <w:jc w:val="both"/>
              <w:rPr>
                <w:rFonts w:ascii="Times New Roman" w:hAnsi="Times New Roman"/>
                <w:bCs/>
                <w:sz w:val="24"/>
                <w:szCs w:val="24"/>
              </w:rPr>
            </w:pPr>
            <w:r>
              <w:rPr>
                <w:rFonts w:ascii="Times New Roman" w:hAnsi="Times New Roman"/>
                <w:bCs/>
                <w:sz w:val="24"/>
                <w:szCs w:val="24"/>
              </w:rPr>
              <w:t>8. В материалах  полосы отвода  картографический материал предоставить в масштабах 1:500 и 1:2000 на бумажном и электронном носителях,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приказом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 изменениями и дополнениями от 3 февраля 2016 г., 24 ноября 2017 г.</w:t>
            </w:r>
          </w:p>
          <w:p>
            <w:pPr>
              <w:pStyle w:val="ListParagraph"/>
              <w:tabs>
                <w:tab w:val="left" w:pos="927" w:leader="none"/>
              </w:tabs>
              <w:ind w:left="0" w:firstLine="643"/>
              <w:jc w:val="both"/>
              <w:rPr>
                <w:sz w:val="24"/>
                <w:szCs w:val="24"/>
                <w:lang w:eastAsia="ru-RU"/>
              </w:rPr>
            </w:pPr>
            <w:r>
              <w:rPr>
                <w:bCs/>
                <w:spacing w:val="-1"/>
                <w:sz w:val="24"/>
                <w:szCs w:val="24"/>
              </w:rPr>
              <w:t>9. При выявлении зеленых насаждений в полосе проектирования ЛЭП на муниципальных землях выполнить подеревную съемку, обеспечить получение в администрации МО порубочного талона, произвести оплату компенсационных выплат, вырубку зелёных насаждений, утилизацию порубочных остатков. Все затраты на компенсационные выплаты входят в общую стоимость объекта.</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1.1.5</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color w:val="000000" w:themeColor="text1"/>
                <w:spacing w:val="4"/>
                <w:sz w:val="24"/>
                <w:szCs w:val="24"/>
                <w:lang w:eastAsia="ru-RU"/>
              </w:rPr>
              <w:t>Требования к организации коммерческого учета электроэнергии</w:t>
            </w:r>
          </w:p>
        </w:tc>
        <w:tc>
          <w:tcPr>
            <w:tcW w:w="9632" w:type="dxa"/>
            <w:gridSpan w:val="3"/>
            <w:tcBorders/>
            <w:shd w:color="auto" w:fill="auto" w:val="clear"/>
            <w:tcMar>
              <w:left w:w="-5" w:type="dxa"/>
              <w:right w:w="108" w:type="dxa"/>
            </w:tcMar>
          </w:tcPr>
          <w:p>
            <w:pPr>
              <w:pStyle w:val="Standard"/>
              <w:widowControl w:val="false"/>
              <w:tabs>
                <w:tab w:val="left" w:pos="90" w:leader="none"/>
              </w:tabs>
              <w:ind w:firstLine="454"/>
              <w:jc w:val="both"/>
              <w:rPr>
                <w:rFonts w:ascii="Times New Roman" w:hAnsi="Times New Roman"/>
                <w:bCs/>
                <w:sz w:val="24"/>
                <w:szCs w:val="24"/>
              </w:rPr>
            </w:pPr>
            <w:r>
              <w:rPr>
                <w:rFonts w:eastAsia="Times New Roman" w:cs="Times New Roman" w:ascii="Times New Roman" w:hAnsi="Times New Roman"/>
                <w:bCs/>
                <w:sz w:val="24"/>
                <w:szCs w:val="24"/>
                <w:lang w:eastAsia="ru-RU"/>
              </w:rPr>
              <w:t>В РД предусмотреть организацию коммерческого учета электроэнергии в соответствии с техническими условиями к договору об осуществлении технологического присоединения (Приложение 1) и соблюдением требований:</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z w:val="24"/>
                <w:szCs w:val="24"/>
                <w:lang w:eastAsia="ru-RU"/>
              </w:rPr>
              <w:t>1. При организации учёта электроэнергии использовать счётчики электроэнергии, отвечающие требованиям Постановления Правительства РФ от 19.06.2020 № 890 «О порядке предоставления доступа к минимальному набору функций интеллектуальных систем учета электрической энергии (мощности)»;</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z w:val="24"/>
                <w:szCs w:val="24"/>
                <w:lang w:eastAsia="ru-RU"/>
              </w:rPr>
              <w:t>2. Элементы измерительного комплекса (счетчики э/энергии, ТТ, УСПД) должны на момент установки иметь действующее свидетельство об утверждении типа, должны быть внесены в федеральный информационный фонд средств измерений, иметь первичную поверку;</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z w:val="24"/>
                <w:szCs w:val="24"/>
                <w:lang w:eastAsia="ru-RU"/>
              </w:rPr>
              <w:t>3. Предусмотреть интеграцию в АИИС КУЭ всех приборов учета электроэнергии;</w:t>
            </w:r>
          </w:p>
          <w:p>
            <w:pPr>
              <w:pStyle w:val="Standard"/>
              <w:widowControl w:val="false"/>
              <w:tabs>
                <w:tab w:val="left" w:pos="90" w:leader="none"/>
              </w:tabs>
              <w:ind w:firstLine="454"/>
              <w:jc w:val="both"/>
              <w:rPr>
                <w:rFonts w:ascii="Times New Roman" w:hAnsi="Times New Roman"/>
                <w:sz w:val="24"/>
                <w:szCs w:val="24"/>
              </w:rPr>
            </w:pPr>
            <w:r>
              <w:rPr>
                <w:rFonts w:eastAsia="Times New Roman" w:cs="Times New Roman" w:ascii="Times New Roman" w:hAnsi="Times New Roman"/>
                <w:bCs/>
                <w:spacing w:val="-1"/>
                <w:sz w:val="24"/>
                <w:szCs w:val="24"/>
                <w:lang w:eastAsia="ru-RU"/>
              </w:rPr>
              <w:t>4. Для защиты измерительных комплексов учета электроэнергии от несанкционированного доступа предусмотреть установку приборов учета, трансформаторов тока и оборудования АИИС КУЭ (УСПД и коммуникационное оборудование) в отдельных запираемых шкафах антивандального исполнения со степенью защиты IP-54, удовлетворяющих требованиям НТД. Шкафы смонтировать с учетом обеспечения удобства доступа, монтажа и эксплуатации.</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1.1.6</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spacing w:val="4"/>
                <w:sz w:val="24"/>
                <w:szCs w:val="24"/>
                <w:lang w:eastAsia="ru-RU"/>
              </w:rPr>
              <w:t>Требования к выполнению строительно-монтажных работ</w:t>
            </w:r>
          </w:p>
        </w:tc>
        <w:tc>
          <w:tcPr>
            <w:tcW w:w="9632" w:type="dxa"/>
            <w:gridSpan w:val="3"/>
            <w:tcBorders/>
            <w:shd w:color="auto" w:fill="auto" w:val="clear"/>
            <w:tcMar>
              <w:left w:w="-5" w:type="dxa"/>
              <w:right w:w="108" w:type="dxa"/>
            </w:tcMar>
          </w:tcPr>
          <w:p>
            <w:pPr>
              <w:pStyle w:val="Standard"/>
              <w:widowControl w:val="false"/>
              <w:tabs>
                <w:tab w:val="left" w:pos="466" w:leader="none"/>
              </w:tabs>
              <w:spacing w:before="0" w:after="60"/>
              <w:ind w:firstLine="624"/>
              <w:jc w:val="both"/>
              <w:rPr>
                <w:rFonts w:ascii="Times New Roman" w:hAnsi="Times New Roman"/>
                <w:spacing w:val="-1"/>
                <w:sz w:val="24"/>
                <w:szCs w:val="24"/>
              </w:rPr>
            </w:pPr>
            <w:r>
              <w:rPr>
                <w:rFonts w:eastAsia="Times New Roman" w:ascii="Times New Roman" w:hAnsi="Times New Roman"/>
                <w:spacing w:val="-1"/>
                <w:sz w:val="24"/>
                <w:szCs w:val="24"/>
              </w:rPr>
              <w:t>1. Работы по Объекту  подлежат выполнению в строгом соответствии с утвержденной Заказчиком рабочей документацией, указаниями представителей технического надзора требованиями технической и эксплуатационной документации заводов-изготовителей поставляемой продукции и требованиями Применимого права,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 а также строительными нормами и правилами (СНиП), руководящими документами (РД), сводами правил по проектированию и строительству (СП), техническими регламентами, национальными стандартами (ГОСТ Р), а также другими действующими правилами и инструкциями, в том числе:</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ПУЭ (действующее издание);</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ПТЭ (действующее издание);</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48.13330.2019 Организация строительства;</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68.13330.2017 Приемка в эксплуатацию законченных строительством объектов. Основные положения;</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76.13330.2016 Электротехнические устройства;</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СП 126.13330.2017 Геодезические работы в строительстве;</w:t>
              <w:tab/>
            </w:r>
          </w:p>
          <w:p>
            <w:pPr>
              <w:pStyle w:val="Standard"/>
              <w:widowControl w:val="false"/>
              <w:ind w:firstLine="567"/>
              <w:jc w:val="both"/>
              <w:rPr/>
            </w:pPr>
            <w:r>
              <w:rPr>
                <w:rFonts w:eastAsia="Times New Roman" w:ascii="Times New Roman" w:hAnsi="Times New Roman"/>
                <w:sz w:val="24"/>
                <w:szCs w:val="24"/>
              </w:rPr>
              <w:t>-  344 от 16.05.2023</w:t>
            </w:r>
            <w:r>
              <w:rPr>
                <w:rFonts w:eastAsia="Times New Roman" w:ascii="Times New Roman" w:hAnsi="Times New Roman"/>
                <w:color w:val="FF4000"/>
                <w:sz w:val="24"/>
                <w:szCs w:val="24"/>
                <w:shd w:fill="FFFFFF" w:val="clear"/>
              </w:rPr>
              <w:t xml:space="preserve"> </w:t>
            </w:r>
            <w:r>
              <w:rPr>
                <w:rFonts w:eastAsia="Times New Roman" w:ascii="Times New Roman" w:hAnsi="Times New Roman"/>
                <w:sz w:val="24"/>
                <w:szCs w:val="24"/>
              </w:rPr>
              <w:t xml:space="preserve"> «Требования к исполнительной документации»;</w:t>
            </w:r>
          </w:p>
          <w:p>
            <w:pPr>
              <w:pStyle w:val="Standard"/>
              <w:widowControl w:val="false"/>
              <w:ind w:firstLine="567"/>
              <w:jc w:val="both"/>
              <w:rPr/>
            </w:pPr>
            <w:r>
              <w:rPr>
                <w:rFonts w:eastAsia="Times New Roman" w:ascii="Times New Roman" w:hAnsi="Times New Roman"/>
                <w:sz w:val="24"/>
                <w:szCs w:val="24"/>
              </w:rPr>
              <w:t>-  1026/ПР от 02.12.2022 «Порядок ведения общего журнала работ»;</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softHyphen/>
              <w:t>- И 1.13-07 «Инструкция по оформлению приемо-сдаточной документации по электромонтажным работам»;</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Постановление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xml:space="preserve">- СНиП 12-03-2001 «Безопасность труда в строительстве», часть 1 «Общие требования»;  </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СНиП 12-04-2002 «Безопасность труда в строительстве», часть 2 «Строительное производство»;</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xml:space="preserve"> </w:t>
            </w:r>
            <w:r>
              <w:rPr>
                <w:rFonts w:eastAsia="Times New Roman" w:ascii="Times New Roman" w:hAnsi="Times New Roman"/>
                <w:sz w:val="24"/>
                <w:szCs w:val="24"/>
              </w:rPr>
              <w:t>- ГОСТ 12.3.032-84 ССБТ «Работы электромонтажные. Общие требования безопасности»;</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безопасности при строительстве линий электропередачи и производства электромонтажных работ (РД 153-34.3-03.285-2002);</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пожарной безопасности;</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устройства и безопасной эксплуатации грузоподъемных кранов;</w:t>
            </w:r>
          </w:p>
          <w:p>
            <w:pPr>
              <w:pStyle w:val="Standard"/>
              <w:widowControl w:val="false"/>
              <w:ind w:firstLine="567"/>
              <w:jc w:val="both"/>
              <w:rPr>
                <w:rFonts w:ascii="Times New Roman" w:hAnsi="Times New Roman"/>
                <w:sz w:val="24"/>
                <w:szCs w:val="24"/>
              </w:rPr>
            </w:pPr>
            <w:r>
              <w:rPr>
                <w:rFonts w:eastAsia="Times New Roman" w:ascii="Times New Roman" w:hAnsi="Times New Roman"/>
                <w:sz w:val="24"/>
                <w:szCs w:val="24"/>
              </w:rPr>
              <w:t>- Правила по охране труда при эксплуатации электроустановок, утвержденных приказом Министерства труда и социальной защиты РФ от 15 декабря 2020 № 903 н;</w:t>
            </w:r>
          </w:p>
          <w:p>
            <w:pPr>
              <w:pStyle w:val="Standard"/>
              <w:widowControl w:val="false"/>
              <w:tabs>
                <w:tab w:val="left" w:pos="466" w:leader="none"/>
              </w:tabs>
              <w:spacing w:before="0" w:after="60"/>
              <w:jc w:val="both"/>
              <w:rPr>
                <w:rFonts w:ascii="Times New Roman" w:hAnsi="Times New Roman"/>
                <w:spacing w:val="-1"/>
                <w:sz w:val="24"/>
                <w:szCs w:val="24"/>
              </w:rPr>
            </w:pPr>
            <w:r>
              <w:rPr>
                <w:rFonts w:eastAsia="Times New Roman" w:ascii="Times New Roman" w:hAnsi="Times New Roman"/>
                <w:spacing w:val="-1"/>
                <w:sz w:val="24"/>
                <w:szCs w:val="24"/>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Приморского края 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tabs>
                <w:tab w:val="left" w:pos="502" w:leader="none"/>
              </w:tabs>
              <w:ind w:left="0" w:firstLine="502"/>
              <w:jc w:val="both"/>
              <w:rPr>
                <w:sz w:val="24"/>
                <w:szCs w:val="24"/>
                <w:lang w:eastAsia="ru-RU"/>
              </w:rPr>
            </w:pPr>
            <w:r>
              <w:rPr>
                <w:spacing w:val="-1"/>
                <w:sz w:val="24"/>
                <w:szCs w:val="24"/>
                <w:lang w:eastAsia="ru-RU"/>
              </w:rPr>
              <w:t xml:space="preserve">2. </w:t>
            </w:r>
            <w:r>
              <w:rPr>
                <w:spacing w:val="-1"/>
                <w:sz w:val="24"/>
                <w:szCs w:val="24"/>
              </w:rPr>
              <w:t>К выполнению СМР приступить только после письменного согласования Заказчиком рабочей документации.</w:t>
            </w:r>
          </w:p>
        </w:tc>
        <w:tc>
          <w:tcPr>
            <w:tcW w:w="1526"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1.1.7.</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sz w:val="24"/>
                <w:szCs w:val="24"/>
                <w:lang w:eastAsia="ru-RU"/>
              </w:rPr>
              <w:t>Производство работ со смежными землепользователями</w:t>
            </w:r>
          </w:p>
        </w:tc>
        <w:tc>
          <w:tcPr>
            <w:tcW w:w="9632" w:type="dxa"/>
            <w:gridSpan w:val="3"/>
            <w:tcBorders/>
            <w:shd w:color="auto" w:fill="auto" w:val="clear"/>
            <w:tcMar>
              <w:left w:w="-5" w:type="dxa"/>
              <w:right w:w="108" w:type="dxa"/>
            </w:tcMar>
          </w:tcPr>
          <w:p>
            <w:pPr>
              <w:pStyle w:val="Standard"/>
              <w:widowControl w:val="false"/>
              <w:ind w:firstLine="567"/>
              <w:jc w:val="both"/>
              <w:rPr>
                <w:rFonts w:ascii="Times New Roman" w:hAnsi="Times New Roman"/>
                <w:sz w:val="24"/>
                <w:szCs w:val="24"/>
              </w:rPr>
            </w:pPr>
            <w:r>
              <w:rPr>
                <w:rFonts w:eastAsia="Times New Roman" w:cs="Times New Roman" w:ascii="Times New Roman" w:hAnsi="Times New Roman"/>
                <w:sz w:val="24"/>
                <w:szCs w:val="24"/>
                <w:lang w:eastAsia="ru-RU"/>
              </w:rPr>
              <w:t>1. Подрядчик самостоятельно согласовывает производство работ со смежными землепользователями, с заинтересованными организациями, физическими лицами и получает разрешение на производство работ (ордер на производство земляных работ), в установленном законом порядке;</w:t>
            </w:r>
          </w:p>
          <w:p>
            <w:pPr>
              <w:pStyle w:val="Standard"/>
              <w:widowControl w:val="false"/>
              <w:tabs>
                <w:tab w:val="left" w:pos="466" w:leader="none"/>
              </w:tabs>
              <w:spacing w:before="0" w:after="60"/>
              <w:ind w:firstLine="624"/>
              <w:jc w:val="both"/>
              <w:rPr>
                <w:rFonts w:ascii="Times New Roman" w:hAnsi="Times New Roman"/>
                <w:spacing w:val="-1"/>
                <w:sz w:val="24"/>
                <w:szCs w:val="24"/>
              </w:rPr>
            </w:pPr>
            <w:r>
              <w:rPr>
                <w:rFonts w:eastAsia="Times New Roman" w:cs="Times New Roman" w:ascii="Times New Roman" w:hAnsi="Times New Roman"/>
                <w:sz w:val="24"/>
                <w:szCs w:val="24"/>
                <w:lang w:eastAsia="ru-RU"/>
              </w:rPr>
              <w:t>2. Подрядчик самостоятельно извещает заинтересованные организации и сетедержателей о начале выполнения работ в подконтрольной зоне их объектов;</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rHeight w:val="462"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1.1.8.</w:t>
            </w:r>
          </w:p>
        </w:tc>
        <w:tc>
          <w:tcPr>
            <w:tcW w:w="2455" w:type="dxa"/>
            <w:tcBorders/>
            <w:shd w:color="auto" w:fill="auto" w:val="clear"/>
            <w:tcMar>
              <w:left w:w="-5" w:type="dxa"/>
              <w:right w:w="108" w:type="dxa"/>
            </w:tcMar>
          </w:tcPr>
          <w:p>
            <w:pPr>
              <w:pStyle w:val="Normal"/>
              <w:widowControl w:val="false"/>
              <w:tabs>
                <w:tab w:val="left" w:pos="567" w:leader="none"/>
              </w:tabs>
              <w:suppressAutoHyphens w:val="true"/>
              <w:spacing w:lineRule="auto" w:line="240" w:before="0" w:after="0"/>
              <w:jc w:val="center"/>
              <w:rPr>
                <w:i/>
                <w:i/>
                <w:iCs/>
                <w:spacing w:val="4"/>
                <w:sz w:val="24"/>
                <w:szCs w:val="24"/>
              </w:rPr>
            </w:pPr>
            <w:r>
              <w:rPr>
                <w:rFonts w:eastAsia="Times New Roman" w:cs="Times New Roman" w:ascii="Times New Roman" w:hAnsi="Times New Roman"/>
                <w:i/>
                <w:iCs/>
                <w:sz w:val="24"/>
                <w:szCs w:val="24"/>
                <w:lang w:eastAsia="ru-RU"/>
              </w:rPr>
              <w:t>Ведение и оформление исполнительной документации</w:t>
            </w:r>
          </w:p>
        </w:tc>
        <w:tc>
          <w:tcPr>
            <w:tcW w:w="9632" w:type="dxa"/>
            <w:gridSpan w:val="3"/>
            <w:tcBorders/>
            <w:shd w:color="auto" w:fill="auto" w:val="clear"/>
            <w:tcMar>
              <w:left w:w="-5" w:type="dxa"/>
              <w:right w:w="108" w:type="dxa"/>
            </w:tcMar>
          </w:tcPr>
          <w:p>
            <w:pPr>
              <w:pStyle w:val="Standard"/>
              <w:widowControl w:val="false"/>
              <w:tabs>
                <w:tab w:val="left" w:pos="643" w:leader="none"/>
              </w:tabs>
              <w:ind w:firstLine="540"/>
              <w:jc w:val="both"/>
              <w:rPr>
                <w:rFonts w:ascii="Times New Roman" w:hAnsi="Times New Roman"/>
                <w:sz w:val="24"/>
                <w:szCs w:val="24"/>
              </w:rPr>
            </w:pPr>
            <w:r>
              <w:rPr>
                <w:rFonts w:eastAsia="Times New Roman" w:cs="Times New Roman" w:ascii="Times New Roman" w:hAnsi="Times New Roman"/>
                <w:sz w:val="24"/>
                <w:szCs w:val="24"/>
                <w:lang w:eastAsia="ru-RU"/>
              </w:rPr>
              <w:t>1.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tabs>
                <w:tab w:val="left" w:pos="466" w:leader="none"/>
              </w:tabs>
              <w:spacing w:before="0" w:after="60"/>
              <w:ind w:firstLine="502"/>
              <w:jc w:val="both"/>
              <w:rPr>
                <w:rFonts w:ascii="Times New Roman" w:hAnsi="Times New Roman"/>
                <w:spacing w:val="-1"/>
                <w:sz w:val="24"/>
                <w:szCs w:val="24"/>
              </w:rPr>
            </w:pPr>
            <w:r>
              <w:rPr>
                <w:rFonts w:eastAsia="Times New Roman" w:cs="Times New Roman" w:ascii="Times New Roman" w:hAnsi="Times New Roman"/>
                <w:sz w:val="24"/>
                <w:szCs w:val="24"/>
                <w:lang w:eastAsia="ru-RU"/>
              </w:rPr>
              <w:t xml:space="preserve">2. Подрядчик оформляет исполнительную документацию на участки прохождения ЛЭП в местах </w:t>
            </w:r>
            <w:r>
              <w:rPr>
                <w:rFonts w:eastAsia="Times New Roman" w:cs="Times New Roman" w:ascii="Times New Roman" w:hAnsi="Times New Roman"/>
                <w:bCs/>
                <w:sz w:val="24"/>
                <w:szCs w:val="24"/>
                <w:lang w:eastAsia="ru-RU"/>
              </w:rPr>
              <w:t>пересечений, сближений и параллельное следование трассы ЛЭП с инженерными сетями, автодорогами и другими преградами сторонних организаций, попадающих в полосу отвода строительства ЛЭП, на которые получены согласования и/или технические условия, с оформлением актов (справок) об их выполнении.</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w:t>
            </w:r>
          </w:p>
        </w:tc>
        <w:tc>
          <w:tcPr>
            <w:tcW w:w="12087" w:type="dxa"/>
            <w:gridSpan w:val="4"/>
            <w:tcBorders/>
            <w:shd w:color="auto" w:fill="auto" w:val="clear"/>
            <w:tcMar>
              <w:left w:w="-5" w:type="dxa"/>
              <w:right w:w="108" w:type="dxa"/>
            </w:tcMar>
          </w:tcPr>
          <w:p>
            <w:pPr>
              <w:pStyle w:val="Normal"/>
              <w:spacing w:lineRule="auto" w:line="240" w:before="60" w:after="0"/>
              <w:rPr>
                <w:b/>
                <w:b/>
                <w:sz w:val="24"/>
                <w:szCs w:val="24"/>
              </w:rPr>
            </w:pPr>
            <w:r>
              <w:rPr>
                <w:rFonts w:eastAsia="Times New Roman" w:cs="Times New Roman" w:ascii="Times New Roman" w:hAnsi="Times New Roman"/>
                <w:b/>
                <w:sz w:val="24"/>
                <w:szCs w:val="24"/>
                <w:lang w:eastAsia="ru-RU"/>
              </w:rPr>
              <w:t>Требования к организации работ и выполнению строительно-монтажных работ</w:t>
            </w:r>
          </w:p>
        </w:tc>
        <w:tc>
          <w:tcPr>
            <w:tcW w:w="1526" w:type="dxa"/>
            <w:tcBorders/>
            <w:shd w:color="auto" w:fill="auto" w:val="clear"/>
            <w:tcMar>
              <w:left w:w="-5" w:type="dxa"/>
              <w:right w:w="108" w:type="dxa"/>
            </w:tcMar>
          </w:tcPr>
          <w:p>
            <w:pPr>
              <w:pStyle w:val="Normal"/>
              <w:spacing w:lineRule="auto" w:line="240" w:before="0" w:after="0"/>
              <w:jc w:val="center"/>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shd w:color="auto" w:fill="auto" w:val="clear"/>
            <w:tcMar>
              <w:left w:w="-5" w:type="dxa"/>
              <w:right w:w="108" w:type="dxa"/>
            </w:tcMar>
          </w:tcPr>
          <w:p>
            <w:pPr>
              <w:pStyle w:val="Normal"/>
              <w:spacing w:lineRule="auto" w:line="240" w:before="0" w:after="0"/>
              <w:jc w:val="center"/>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1985"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1.2.1.</w:t>
            </w:r>
          </w:p>
        </w:tc>
        <w:tc>
          <w:tcPr>
            <w:tcW w:w="2461" w:type="dxa"/>
            <w:gridSpan w:val="2"/>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Подготовительные работы производства СМР</w:t>
            </w:r>
          </w:p>
        </w:tc>
        <w:tc>
          <w:tcPr>
            <w:tcW w:w="9626" w:type="dxa"/>
            <w:gridSpan w:val="2"/>
            <w:tcBorders/>
            <w:shd w:color="auto" w:fill="auto" w:val="clear"/>
            <w:tcMar>
              <w:left w:w="-5" w:type="dxa"/>
              <w:right w:w="108" w:type="dxa"/>
            </w:tcMar>
          </w:tcPr>
          <w:p>
            <w:pPr>
              <w:pStyle w:val="Standard"/>
              <w:widowControl w:val="false"/>
              <w:tabs>
                <w:tab w:val="left" w:pos="567" w:leader="none"/>
              </w:tabs>
              <w:spacing w:before="0" w:after="60"/>
              <w:ind w:firstLine="487"/>
              <w:jc w:val="both"/>
              <w:rPr>
                <w:rFonts w:ascii="Times New Roman" w:hAnsi="Times New Roman"/>
                <w:bCs/>
                <w:sz w:val="24"/>
                <w:szCs w:val="24"/>
              </w:rPr>
            </w:pPr>
            <w:r>
              <w:rPr>
                <w:rFonts w:ascii="Times New Roman" w:hAnsi="Times New Roman"/>
                <w:bCs/>
                <w:sz w:val="24"/>
                <w:szCs w:val="24"/>
              </w:rPr>
              <w:t>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pPr>
              <w:pStyle w:val="ListParagraph"/>
              <w:tabs>
                <w:tab w:val="left" w:pos="567" w:leader="none"/>
              </w:tabs>
              <w:ind w:left="0" w:firstLine="487"/>
              <w:jc w:val="both"/>
              <w:rPr>
                <w:sz w:val="24"/>
                <w:szCs w:val="24"/>
              </w:rPr>
            </w:pPr>
            <w:r>
              <w:rPr>
                <w:sz w:val="24"/>
                <w:szCs w:val="24"/>
              </w:rPr>
              <w:t>- 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pPr>
              <w:pStyle w:val="ListParagraph"/>
              <w:tabs>
                <w:tab w:val="left" w:pos="567" w:leader="none"/>
              </w:tabs>
              <w:ind w:left="0" w:firstLine="487"/>
              <w:jc w:val="both"/>
              <w:rPr>
                <w:sz w:val="24"/>
                <w:szCs w:val="24"/>
              </w:rPr>
            </w:pPr>
            <w:r>
              <w:rPr>
                <w:sz w:val="24"/>
                <w:szCs w:val="24"/>
              </w:rPr>
              <w:t>- разработка подрядчиком проекта производства работ (ППР) и получение всех необходимых согласований;</w:t>
            </w:r>
          </w:p>
          <w:p>
            <w:pPr>
              <w:pStyle w:val="ListParagraph"/>
              <w:tabs>
                <w:tab w:val="left" w:pos="567" w:leader="none"/>
              </w:tabs>
              <w:ind w:left="0" w:firstLine="487"/>
              <w:jc w:val="both"/>
              <w:rPr>
                <w:sz w:val="24"/>
                <w:szCs w:val="24"/>
              </w:rPr>
            </w:pPr>
            <w:r>
              <w:rPr>
                <w:sz w:val="24"/>
                <w:szCs w:val="24"/>
              </w:rPr>
              <w:t>-   оформление допуска для производства работ в зоне действующей ЛЭП2.</w:t>
            </w:r>
          </w:p>
          <w:p>
            <w:pPr>
              <w:pStyle w:val="ListParagraph"/>
              <w:tabs>
                <w:tab w:val="left" w:pos="567" w:leader="none"/>
              </w:tabs>
              <w:ind w:left="0" w:firstLine="487"/>
              <w:jc w:val="both"/>
              <w:rPr>
                <w:sz w:val="24"/>
                <w:szCs w:val="24"/>
              </w:rPr>
            </w:pPr>
            <w:r>
              <w:rPr>
                <w:sz w:val="24"/>
                <w:szCs w:val="24"/>
              </w:rPr>
              <w:t>2.  Согласование с заказчиком Календарного графика выполнения работ.</w:t>
            </w:r>
          </w:p>
          <w:p>
            <w:pPr>
              <w:pStyle w:val="ListParagraph"/>
              <w:tabs>
                <w:tab w:val="left" w:pos="567" w:leader="none"/>
              </w:tabs>
              <w:ind w:left="0" w:firstLine="487"/>
              <w:jc w:val="both"/>
              <w:rPr>
                <w:bCs/>
                <w:sz w:val="24"/>
                <w:szCs w:val="24"/>
              </w:rPr>
            </w:pPr>
            <w:r>
              <w:rPr>
                <w:bCs/>
                <w:sz w:val="24"/>
                <w:szCs w:val="24"/>
              </w:rPr>
              <w:t>3. Доставка строительной техники к месту производства работ.</w:t>
            </w:r>
          </w:p>
          <w:p>
            <w:pPr>
              <w:pStyle w:val="Normal"/>
              <w:tabs>
                <w:tab w:val="left" w:pos="567" w:leader="none"/>
              </w:tabs>
              <w:spacing w:before="0" w:after="0"/>
              <w:ind w:firstLine="487"/>
              <w:jc w:val="both"/>
              <w:rPr>
                <w:sz w:val="24"/>
                <w:szCs w:val="24"/>
              </w:rPr>
            </w:pPr>
            <w:r>
              <w:rPr>
                <w:bCs/>
                <w:sz w:val="24"/>
                <w:szCs w:val="24"/>
              </w:rPr>
              <w:t>4. Доставка к месту работы необходимых материалов.</w:t>
            </w:r>
          </w:p>
        </w:tc>
        <w:tc>
          <w:tcPr>
            <w:tcW w:w="1526" w:type="dx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sz w:val="24"/>
                <w:szCs w:val="24"/>
                <w:lang w:eastAsia="ru-RU"/>
              </w:rPr>
              <w:t>-//-</w:t>
            </w:r>
          </w:p>
        </w:tc>
      </w:tr>
      <w:tr>
        <w:trPr>
          <w:trHeight w:val="1985"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1.2.2</w:t>
            </w:r>
            <w:r>
              <w:rPr>
                <w:rFonts w:eastAsia="Times New Roman" w:cs="Times New Roman" w:ascii="Times New Roman" w:hAnsi="Times New Roman"/>
                <w:sz w:val="24"/>
                <w:szCs w:val="24"/>
                <w:lang w:eastAsia="ru-RU"/>
              </w:rPr>
              <w:t>.</w:t>
            </w:r>
          </w:p>
        </w:tc>
        <w:tc>
          <w:tcPr>
            <w:tcW w:w="2461" w:type="dxa"/>
            <w:gridSpan w:val="2"/>
            <w:tcBorders/>
            <w:shd w:color="auto" w:fill="auto" w:val="clear"/>
            <w:tcMar>
              <w:left w:w="-5" w:type="dxa"/>
              <w:right w:w="108" w:type="dxa"/>
            </w:tcMar>
          </w:tcPr>
          <w:p>
            <w:pPr>
              <w:pStyle w:val="ListParagraph"/>
              <w:tabs>
                <w:tab w:val="left" w:pos="567" w:leader="none"/>
              </w:tabs>
              <w:spacing w:before="0" w:after="60"/>
              <w:ind w:left="0" w:hanging="0"/>
              <w:jc w:val="center"/>
              <w:rPr>
                <w:bCs/>
                <w:i/>
                <w:i/>
                <w:sz w:val="24"/>
                <w:szCs w:val="24"/>
                <w:lang w:eastAsia="ru-RU"/>
              </w:rPr>
            </w:pPr>
            <w:r>
              <w:rPr>
                <w:bCs/>
                <w:i/>
                <w:sz w:val="24"/>
                <w:szCs w:val="24"/>
                <w:lang w:val="ru-RU" w:eastAsia="ru-RU"/>
              </w:rPr>
              <w:t>Требования к выполнению</w:t>
            </w:r>
          </w:p>
          <w:p>
            <w:pPr>
              <w:pStyle w:val="Normal"/>
              <w:spacing w:before="0" w:after="120"/>
              <w:jc w:val="center"/>
              <w:rPr>
                <w:bCs/>
                <w:i/>
                <w:i/>
                <w:sz w:val="24"/>
                <w:szCs w:val="24"/>
              </w:rPr>
            </w:pPr>
            <w:r>
              <w:rPr>
                <w:bCs/>
                <w:i/>
                <w:sz w:val="24"/>
                <w:szCs w:val="24"/>
              </w:rPr>
              <w:t xml:space="preserve"> </w:t>
            </w:r>
            <w:r>
              <w:rPr>
                <w:bCs/>
                <w:i/>
                <w:sz w:val="24"/>
                <w:szCs w:val="24"/>
              </w:rPr>
              <w:t>СМР и ПНР</w:t>
            </w:r>
          </w:p>
        </w:tc>
        <w:tc>
          <w:tcPr>
            <w:tcW w:w="9626" w:type="dxa"/>
            <w:gridSpan w:val="2"/>
            <w:tcBorders/>
            <w:shd w:color="auto" w:fill="auto" w:val="clear"/>
            <w:tcMar>
              <w:left w:w="-5" w:type="dxa"/>
              <w:right w:w="108" w:type="dxa"/>
            </w:tcMar>
          </w:tcPr>
          <w:p>
            <w:pPr>
              <w:pStyle w:val="Standard"/>
              <w:widowControl w:val="false"/>
              <w:tabs>
                <w:tab w:val="left" w:pos="540" w:leader="none"/>
                <w:tab w:val="left" w:pos="567" w:leader="none"/>
              </w:tabs>
              <w:ind w:firstLine="487"/>
              <w:jc w:val="both"/>
              <w:rPr>
                <w:rFonts w:ascii="Times New Roman" w:hAnsi="Times New Roman"/>
                <w:sz w:val="24"/>
                <w:szCs w:val="24"/>
              </w:rPr>
            </w:pPr>
            <w:r>
              <w:rPr>
                <w:rFonts w:eastAsia="Times New Roman" w:cs="Times New Roman" w:ascii="Times New Roman" w:hAnsi="Times New Roman"/>
                <w:sz w:val="24"/>
                <w:szCs w:val="24"/>
                <w:lang w:eastAsia="ru-RU"/>
              </w:rPr>
              <w:t>1. Строительно-монтажные и пусконаладочные работы выполняются согласно ППР (проекта производства работ) и графика производства работ.</w:t>
            </w:r>
          </w:p>
          <w:p>
            <w:pPr>
              <w:pStyle w:val="Standard"/>
              <w:widowControl w:val="false"/>
              <w:tabs>
                <w:tab w:val="left" w:pos="540" w:leader="none"/>
                <w:tab w:val="left" w:pos="567" w:leader="none"/>
              </w:tabs>
              <w:ind w:firstLine="487"/>
              <w:jc w:val="both"/>
              <w:rPr>
                <w:rFonts w:ascii="Times New Roman" w:hAnsi="Times New Roman"/>
                <w:sz w:val="24"/>
                <w:szCs w:val="24"/>
              </w:rPr>
            </w:pPr>
            <w:r>
              <w:rPr>
                <w:rFonts w:eastAsia="Times New Roman" w:cs="Times New Roman" w:ascii="Times New Roman" w:hAnsi="Times New Roman"/>
                <w:sz w:val="24"/>
                <w:szCs w:val="24"/>
                <w:lang w:eastAsia="ru-RU"/>
              </w:rPr>
              <w:t xml:space="preserve">2. ППР и график производства работ разрабатываются Подрядчиком и до предполагаемого начала работ предоставляются для согласования Заказчику.  </w:t>
            </w:r>
          </w:p>
          <w:p>
            <w:pPr>
              <w:pStyle w:val="Standard"/>
              <w:widowControl w:val="false"/>
              <w:tabs>
                <w:tab w:val="left" w:pos="567" w:leader="none"/>
              </w:tabs>
              <w:ind w:firstLine="487"/>
              <w:jc w:val="both"/>
              <w:rPr>
                <w:rFonts w:ascii="Times New Roman" w:hAnsi="Times New Roman"/>
                <w:bCs/>
                <w:sz w:val="24"/>
                <w:szCs w:val="24"/>
              </w:rPr>
            </w:pPr>
            <w:r>
              <w:rPr>
                <w:rFonts w:eastAsia="Times New Roman" w:cs="Times New Roman" w:ascii="Times New Roman" w:hAnsi="Times New Roman"/>
                <w:sz w:val="24"/>
                <w:szCs w:val="24"/>
                <w:lang w:eastAsia="ru-RU"/>
              </w:rPr>
              <w:t>3. Режим выполнения работ – по согласованному с Заказчиком не менее чем за 10 дней до начала работ графику.</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sz w:val="24"/>
                <w:szCs w:val="24"/>
              </w:rPr>
            </w:pPr>
            <w:r>
              <w:rPr>
                <w:rFonts w:eastAsia="Times New Roman" w:cs="Times New Roman" w:ascii="Times New Roman" w:hAnsi="Times New Roman"/>
                <w:sz w:val="24"/>
                <w:szCs w:val="24"/>
                <w:lang w:eastAsia="ru-RU"/>
              </w:rPr>
              <w:t>-//-</w:t>
            </w:r>
          </w:p>
        </w:tc>
      </w:tr>
      <w:tr>
        <w:trPr>
          <w:trHeight w:val="1985" w:hRule="atLeast"/>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1.2.3</w:t>
            </w:r>
            <w:r>
              <w:rPr>
                <w:rFonts w:eastAsia="Times New Roman" w:cs="Times New Roman" w:ascii="Times New Roman" w:hAnsi="Times New Roman"/>
                <w:sz w:val="24"/>
                <w:szCs w:val="24"/>
                <w:lang w:eastAsia="ru-RU"/>
              </w:rPr>
              <w:t>.</w:t>
            </w:r>
          </w:p>
        </w:tc>
        <w:tc>
          <w:tcPr>
            <w:tcW w:w="2461" w:type="dxa"/>
            <w:gridSpan w:val="2"/>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Доставка строительной техники и материалов</w:t>
            </w:r>
          </w:p>
        </w:tc>
        <w:tc>
          <w:tcPr>
            <w:tcW w:w="9626" w:type="dxa"/>
            <w:gridSpan w:val="2"/>
            <w:tcBorders/>
            <w:shd w:color="auto" w:fill="auto" w:val="clear"/>
            <w:tcMar>
              <w:left w:w="-5" w:type="dxa"/>
              <w:right w:w="108" w:type="dxa"/>
            </w:tcMar>
          </w:tcPr>
          <w:p>
            <w:pPr>
              <w:pStyle w:val="Standard"/>
              <w:widowControl w:val="false"/>
              <w:tabs>
                <w:tab w:val="left" w:pos="567" w:leader="none"/>
              </w:tabs>
              <w:ind w:firstLine="567"/>
              <w:jc w:val="both"/>
              <w:rPr>
                <w:rFonts w:ascii="Times New Roman" w:hAnsi="Times New Roman"/>
                <w:bCs/>
                <w:sz w:val="24"/>
                <w:szCs w:val="24"/>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Доставка строительной техники к месту производства работ,  необходимых материалов и оборудования для производства работ доставляются на место проведения работ Подрядчиком самостоятельно.</w:t>
            </w:r>
          </w:p>
        </w:tc>
        <w:tc>
          <w:tcPr>
            <w:tcW w:w="1526" w:type="dx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shd w:color="auto" w:fill="auto" w:val="clear"/>
            <w:tcMar>
              <w:left w:w="-5" w:type="dxa"/>
              <w:right w:w="108" w:type="dxa"/>
            </w:tcMar>
          </w:tcPr>
          <w:p>
            <w:pPr>
              <w:pStyle w:val="Normal"/>
              <w:spacing w:lineRule="auto" w:line="240" w:before="0" w:after="0"/>
              <w:jc w:val="center"/>
              <w:rPr>
                <w:sz w:val="24"/>
                <w:szCs w:val="24"/>
              </w:rPr>
            </w:pPr>
            <w:r>
              <w:rPr>
                <w:rFonts w:eastAsia="Times New Roman" w:cs="Times New Roman" w:ascii="Times New Roman" w:hAnsi="Times New Roman"/>
                <w:sz w:val="24"/>
                <w:szCs w:val="24"/>
                <w:lang w:eastAsia="ru-RU"/>
              </w:rPr>
              <w:t>-//-</w:t>
            </w:r>
          </w:p>
        </w:tc>
      </w:tr>
      <w:tr>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w:t>
            </w:r>
          </w:p>
        </w:tc>
        <w:tc>
          <w:tcPr>
            <w:tcW w:w="12087" w:type="dxa"/>
            <w:gridSpan w:val="4"/>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применяемым при выполнении работ оборудованию, материалам, технологиям, программно-аппаратным средствам</w:t>
            </w:r>
          </w:p>
        </w:tc>
        <w:tc>
          <w:tcPr>
            <w:tcW w:w="1526" w:type="dx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563" w:type="dx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1.3.1</w:t>
            </w:r>
          </w:p>
        </w:tc>
        <w:tc>
          <w:tcPr>
            <w:tcW w:w="2461" w:type="dxa"/>
            <w:gridSpan w:val="2"/>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 xml:space="preserve">Требования к используемым материалам </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bCs/>
                <w:i/>
                <w:sz w:val="24"/>
                <w:szCs w:val="24"/>
                <w:lang w:eastAsia="ru-RU"/>
              </w:rPr>
              <w:t>и оборудованию</w:t>
            </w:r>
          </w:p>
        </w:tc>
        <w:tc>
          <w:tcPr>
            <w:tcW w:w="9626" w:type="dxa"/>
            <w:gridSpan w:val="2"/>
            <w:tcBorders/>
            <w:shd w:color="auto" w:fill="auto" w:val="clear"/>
            <w:tcMar>
              <w:left w:w="-5" w:type="dxa"/>
              <w:right w:w="108" w:type="dxa"/>
            </w:tcMar>
          </w:tcPr>
          <w:p>
            <w:pPr>
              <w:pStyle w:val="Normal"/>
              <w:suppressAutoHyphens w:val="true"/>
              <w:spacing w:lineRule="auto" w:line="240" w:before="0" w:after="0"/>
              <w:ind w:firstLine="540"/>
              <w:jc w:val="both"/>
              <w:rPr/>
            </w:pPr>
            <w:r>
              <w:rPr>
                <w:rFonts w:eastAsia="Batang" w:cs="Times New Roman" w:ascii="Times New Roman" w:hAnsi="Times New Roman"/>
                <w:sz w:val="24"/>
                <w:szCs w:val="24"/>
              </w:rPr>
              <w:t>1.</w:t>
            </w:r>
            <w:r>
              <w:rPr>
                <w:rFonts w:eastAsia="Batang" w:cs="Times New Roman" w:ascii="Times New Roman" w:hAnsi="Times New Roman"/>
                <w:b/>
                <w:sz w:val="24"/>
                <w:szCs w:val="24"/>
              </w:rPr>
              <w:t xml:space="preserve"> </w:t>
            </w:r>
            <w:r>
              <w:rPr>
                <w:rFonts w:ascii="Times New Roman" w:hAnsi="Times New Roman"/>
                <w:sz w:val="24"/>
                <w:szCs w:val="24"/>
              </w:rPr>
              <w:t>Поставка материалов и оборудования, за исключением оборудования поставки</w:t>
            </w:r>
          </w:p>
          <w:p>
            <w:pPr>
              <w:pStyle w:val="Normal"/>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tbl>
            <w:tblPr>
              <w:tblW w:w="9508" w:type="dxa"/>
              <w:jc w:val="left"/>
              <w:tblInd w:w="0" w:type="dxa"/>
              <w:tblBorders>
                <w:top w:val="single" w:sz="2" w:space="0" w:color="000001"/>
                <w:left w:val="single" w:sz="2" w:space="0" w:color="000001"/>
                <w:bottom w:val="single" w:sz="2" w:space="0" w:color="000001"/>
                <w:insideH w:val="single" w:sz="2" w:space="0" w:color="000001"/>
              </w:tblBorders>
              <w:tblCellMar>
                <w:top w:w="55" w:type="dxa"/>
                <w:left w:w="21" w:type="dxa"/>
                <w:bottom w:w="55" w:type="dxa"/>
                <w:right w:w="55" w:type="dxa"/>
              </w:tblCellMar>
              <w:tblLook w:val="04a0" w:noVBand="1" w:noHBand="0" w:lastColumn="0" w:firstColumn="1" w:lastRow="0" w:firstRow="1"/>
            </w:tblPr>
            <w:tblGrid>
              <w:gridCol w:w="3169"/>
              <w:gridCol w:w="3169"/>
              <w:gridCol w:w="3170"/>
            </w:tblGrid>
            <w:tr>
              <w:trPr/>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spacing w:lineRule="auto" w:line="252" w:before="0" w:after="200"/>
                    <w:ind w:hanging="60"/>
                    <w:jc w:val="center"/>
                    <w:rPr/>
                  </w:pPr>
                  <w:r>
                    <w:rPr>
                      <w:rFonts w:ascii="Times New Roman" w:hAnsi="Times New Roman"/>
                      <w:color w:val="000000"/>
                      <w:sz w:val="24"/>
                      <w:szCs w:val="24"/>
                    </w:rPr>
                    <w:t>Наименование</w:t>
                  </w:r>
                </w:p>
              </w:tc>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spacing w:lineRule="auto" w:line="252" w:before="0" w:after="200"/>
                    <w:jc w:val="center"/>
                    <w:rPr/>
                  </w:pPr>
                  <w:r>
                    <w:rPr>
                      <w:rFonts w:ascii="Times New Roman" w:hAnsi="Times New Roman"/>
                      <w:color w:val="000000"/>
                      <w:sz w:val="24"/>
                      <w:szCs w:val="24"/>
                    </w:rPr>
                    <w:t>Тип/мощность/номинальное напряжение</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1" w:type="dxa"/>
                  </w:tcMar>
                </w:tcPr>
                <w:p>
                  <w:pPr>
                    <w:pStyle w:val="Normal"/>
                    <w:spacing w:lineRule="auto" w:line="252" w:before="0" w:after="200"/>
                    <w:jc w:val="center"/>
                    <w:rPr/>
                  </w:pPr>
                  <w:r>
                    <w:rPr>
                      <w:rFonts w:ascii="Times New Roman" w:hAnsi="Times New Roman"/>
                      <w:color w:val="000000"/>
                      <w:sz w:val="24"/>
                      <w:szCs w:val="24"/>
                    </w:rPr>
                    <w:t>Кол-во</w:t>
                  </w:r>
                </w:p>
              </w:tc>
            </w:tr>
            <w:tr>
              <w:trPr/>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lineRule="auto" w:line="240" w:before="0" w:after="0"/>
                    <w:ind w:firstLine="113"/>
                    <w:jc w:val="center"/>
                    <w:outlineLvl w:val="0"/>
                    <w:rPr/>
                  </w:pPr>
                  <w:r>
                    <w:rPr>
                      <w:rFonts w:ascii="Times New Roman" w:hAnsi="Times New Roman"/>
                      <w:sz w:val="24"/>
                      <w:szCs w:val="24"/>
                    </w:rPr>
                    <w:t xml:space="preserve">ТП </w:t>
                  </w:r>
                  <w:r>
                    <w:rPr>
                      <w:rFonts w:ascii="Times New Roman" w:hAnsi="Times New Roman"/>
                      <w:sz w:val="24"/>
                      <w:szCs w:val="24"/>
                      <w:lang w:val="en-US"/>
                    </w:rPr>
                    <w:t>6</w:t>
                  </w:r>
                  <w:r>
                    <w:rPr>
                      <w:rFonts w:ascii="Times New Roman" w:hAnsi="Times New Roman"/>
                      <w:sz w:val="24"/>
                      <w:szCs w:val="24"/>
                    </w:rPr>
                    <w:t xml:space="preserve">/0,4 кВ </w:t>
                  </w:r>
                </w:p>
              </w:tc>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before="0" w:after="200"/>
                    <w:jc w:val="center"/>
                    <w:outlineLvl w:val="0"/>
                    <w:rPr/>
                  </w:pPr>
                  <w:r>
                    <w:rPr>
                      <w:rFonts w:ascii="Times New Roman" w:hAnsi="Times New Roman"/>
                      <w:sz w:val="24"/>
                      <w:szCs w:val="24"/>
                    </w:rPr>
                    <w:t>СТП 40 кВА</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1" w:type="dxa"/>
                  </w:tcMar>
                </w:tcPr>
                <w:p>
                  <w:pPr>
                    <w:pStyle w:val="Normal"/>
                    <w:numPr>
                      <w:ilvl w:val="0"/>
                      <w:numId w:val="0"/>
                    </w:numPr>
                    <w:spacing w:before="0" w:after="200"/>
                    <w:jc w:val="center"/>
                    <w:outlineLvl w:val="0"/>
                    <w:rPr/>
                  </w:pPr>
                  <w:r>
                    <w:rPr>
                      <w:rFonts w:ascii="Times New Roman" w:hAnsi="Times New Roman"/>
                      <w:sz w:val="24"/>
                      <w:szCs w:val="24"/>
                    </w:rPr>
                    <w:t>Определить на стадии проектирования</w:t>
                  </w:r>
                </w:p>
              </w:tc>
            </w:tr>
            <w:tr>
              <w:trPr/>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lineRule="auto" w:line="240" w:before="0" w:after="0"/>
                    <w:ind w:firstLine="113"/>
                    <w:jc w:val="center"/>
                    <w:outlineLvl w:val="0"/>
                    <w:rPr>
                      <w:rFonts w:ascii="Times New Roman" w:hAnsi="Times New Roman"/>
                      <w:sz w:val="24"/>
                      <w:szCs w:val="24"/>
                    </w:rPr>
                  </w:pPr>
                  <w:r>
                    <w:rPr>
                      <w:rFonts w:ascii="Times New Roman" w:hAnsi="Times New Roman"/>
                      <w:sz w:val="24"/>
                      <w:szCs w:val="24"/>
                    </w:rPr>
                    <w:t xml:space="preserve">Коммерческий учет электрической энергии </w:t>
                  </w:r>
                </w:p>
              </w:tc>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before="0" w:after="200"/>
                    <w:jc w:val="center"/>
                    <w:outlineLvl w:val="0"/>
                    <w:rPr>
                      <w:rFonts w:ascii="Times New Roman" w:hAnsi="Times New Roman"/>
                    </w:rPr>
                  </w:pPr>
                  <w:r>
                    <w:rPr>
                      <w:rFonts w:ascii="Times New Roman" w:hAnsi="Times New Roman"/>
                    </w:rPr>
                    <w:t>Счетчик электрической энергии 3-х фазный с отключением нагрузки</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1" w:type="dxa"/>
                  </w:tcMar>
                </w:tcPr>
                <w:p>
                  <w:pPr>
                    <w:pStyle w:val="Normal"/>
                    <w:numPr>
                      <w:ilvl w:val="0"/>
                      <w:numId w:val="0"/>
                    </w:numPr>
                    <w:spacing w:before="0" w:after="200"/>
                    <w:jc w:val="center"/>
                    <w:outlineLvl w:val="0"/>
                    <w:rPr/>
                  </w:pPr>
                  <w:r>
                    <w:rPr>
                      <w:rFonts w:ascii="Times New Roman" w:hAnsi="Times New Roman"/>
                    </w:rPr>
                    <w:t>3 шт.</w:t>
                  </w:r>
                </w:p>
              </w:tc>
            </w:tr>
            <w:tr>
              <w:trPr/>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lineRule="auto" w:line="240" w:before="0" w:after="0"/>
                    <w:ind w:firstLine="113"/>
                    <w:jc w:val="center"/>
                    <w:outlineLvl w:val="0"/>
                    <w:rPr/>
                  </w:pPr>
                  <w:r>
                    <w:rPr>
                      <w:rFonts w:ascii="Times New Roman" w:hAnsi="Times New Roman"/>
                      <w:sz w:val="24"/>
                      <w:szCs w:val="24"/>
                    </w:rPr>
                    <w:t xml:space="preserve">ТП </w:t>
                  </w:r>
                  <w:r>
                    <w:rPr>
                      <w:rFonts w:ascii="Times New Roman" w:hAnsi="Times New Roman"/>
                      <w:sz w:val="24"/>
                      <w:szCs w:val="24"/>
                      <w:lang w:val="en-US"/>
                    </w:rPr>
                    <w:t>10</w:t>
                  </w:r>
                  <w:bookmarkStart w:id="12" w:name="_GoBack"/>
                  <w:bookmarkEnd w:id="12"/>
                  <w:r>
                    <w:rPr>
                      <w:rFonts w:ascii="Times New Roman" w:hAnsi="Times New Roman"/>
                      <w:sz w:val="24"/>
                      <w:szCs w:val="24"/>
                    </w:rPr>
                    <w:t>/0,4 кВ</w:t>
                  </w:r>
                </w:p>
              </w:tc>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before="0" w:after="200"/>
                    <w:jc w:val="center"/>
                    <w:outlineLvl w:val="0"/>
                    <w:rPr/>
                  </w:pPr>
                  <w:r>
                    <w:rPr>
                      <w:rFonts w:ascii="Times New Roman" w:hAnsi="Times New Roman"/>
                      <w:sz w:val="24"/>
                      <w:szCs w:val="24"/>
                    </w:rPr>
                    <w:t>СТП-63 кВА</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1" w:type="dxa"/>
                  </w:tcMar>
                </w:tcPr>
                <w:p>
                  <w:pPr>
                    <w:pStyle w:val="Normal"/>
                    <w:numPr>
                      <w:ilvl w:val="0"/>
                      <w:numId w:val="0"/>
                    </w:numPr>
                    <w:spacing w:before="0" w:after="200"/>
                    <w:jc w:val="center"/>
                    <w:outlineLvl w:val="0"/>
                    <w:rPr/>
                  </w:pPr>
                  <w:r>
                    <w:rPr>
                      <w:rFonts w:ascii="Times New Roman" w:hAnsi="Times New Roman"/>
                      <w:sz w:val="24"/>
                      <w:szCs w:val="24"/>
                    </w:rPr>
                    <w:t>Определить на стадии проектирования</w:t>
                  </w:r>
                </w:p>
              </w:tc>
            </w:tr>
            <w:tr>
              <w:trPr/>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lineRule="auto" w:line="240" w:before="0" w:after="0"/>
                    <w:ind w:firstLine="113"/>
                    <w:jc w:val="center"/>
                    <w:outlineLvl w:val="0"/>
                    <w:rPr>
                      <w:rFonts w:ascii="Times New Roman" w:hAnsi="Times New Roman"/>
                      <w:sz w:val="24"/>
                      <w:szCs w:val="24"/>
                    </w:rPr>
                  </w:pPr>
                  <w:r>
                    <w:rPr>
                      <w:rFonts w:ascii="Times New Roman" w:hAnsi="Times New Roman"/>
                      <w:sz w:val="24"/>
                      <w:szCs w:val="24"/>
                    </w:rPr>
                    <w:t>Проводниковая продукция</w:t>
                  </w:r>
                </w:p>
              </w:tc>
              <w:tc>
                <w:tcPr>
                  <w:tcW w:w="3169" w:type="dxa"/>
                  <w:tcBorders>
                    <w:top w:val="single" w:sz="2" w:space="0" w:color="000001"/>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before="0" w:after="200"/>
                    <w:jc w:val="center"/>
                    <w:outlineLvl w:val="0"/>
                    <w:rPr>
                      <w:rFonts w:ascii="Times New Roman" w:hAnsi="Times New Roman"/>
                      <w:sz w:val="24"/>
                      <w:szCs w:val="24"/>
                    </w:rPr>
                  </w:pPr>
                  <w:r>
                    <w:rPr>
                      <w:rFonts w:ascii="Times New Roman" w:hAnsi="Times New Roman"/>
                      <w:sz w:val="24"/>
                      <w:szCs w:val="24"/>
                    </w:rPr>
                    <w:t>СИП3 1х50</w:t>
                    <w:br/>
                    <w:t>СИП2 3х70+1(70)</w:t>
                    <w:br/>
                    <w:t>СИП2 3х120+1х95</w:t>
                  </w:r>
                </w:p>
              </w:tc>
              <w:tc>
                <w:tcPr>
                  <w:tcW w:w="3170"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1" w:type="dxa"/>
                  </w:tcMar>
                </w:tcPr>
                <w:p>
                  <w:pPr>
                    <w:pStyle w:val="Normal"/>
                    <w:numPr>
                      <w:ilvl w:val="0"/>
                      <w:numId w:val="0"/>
                    </w:numPr>
                    <w:spacing w:before="0" w:after="0"/>
                    <w:jc w:val="center"/>
                    <w:outlineLvl w:val="0"/>
                    <w:rPr>
                      <w:rFonts w:ascii="Times New Roman" w:hAnsi="Times New Roman"/>
                      <w:sz w:val="24"/>
                      <w:szCs w:val="24"/>
                    </w:rPr>
                  </w:pPr>
                  <w:bookmarkStart w:id="13" w:name="__DdeLink__14224_2004744662"/>
                  <w:r>
                    <w:rPr>
                      <w:rFonts w:cs="Times New Roman" w:ascii="Times New Roman" w:hAnsi="Times New Roman"/>
                      <w:iCs/>
                      <w:sz w:val="24"/>
                      <w:szCs w:val="24"/>
                    </w:rPr>
                    <w:t>В достаточном объеме для выполнения СМР</w:t>
                  </w:r>
                </w:p>
                <w:p>
                  <w:pPr>
                    <w:pStyle w:val="Normal"/>
                    <w:numPr>
                      <w:ilvl w:val="0"/>
                      <w:numId w:val="0"/>
                    </w:numPr>
                    <w:spacing w:before="0" w:after="0"/>
                    <w:jc w:val="center"/>
                    <w:outlineLvl w:val="0"/>
                    <w:rPr>
                      <w:rFonts w:ascii="Times New Roman" w:hAnsi="Times New Roman"/>
                      <w:sz w:val="24"/>
                      <w:szCs w:val="24"/>
                    </w:rPr>
                  </w:pPr>
                  <w:bookmarkStart w:id="14" w:name="__DdeLink__14224_2004744662"/>
                  <w:bookmarkEnd w:id="14"/>
                  <w:r>
                    <w:rPr>
                      <w:rFonts w:cs="Times New Roman" w:ascii="Times New Roman" w:hAnsi="Times New Roman"/>
                      <w:iCs/>
                      <w:sz w:val="24"/>
                      <w:szCs w:val="24"/>
                    </w:rPr>
                    <w:t>(Объем определить на стадии проектирования)</w:t>
                  </w:r>
                </w:p>
              </w:tc>
            </w:tr>
            <w:tr>
              <w:trPr/>
              <w:tc>
                <w:tcPr>
                  <w:tcW w:w="3169" w:type="dxa"/>
                  <w:tcBorders>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lineRule="auto" w:line="240" w:before="0" w:after="0"/>
                    <w:ind w:firstLine="113"/>
                    <w:jc w:val="center"/>
                    <w:outlineLvl w:val="0"/>
                    <w:rPr>
                      <w:rFonts w:ascii="Times New Roman" w:hAnsi="Times New Roman"/>
                      <w:sz w:val="24"/>
                      <w:szCs w:val="24"/>
                    </w:rPr>
                  </w:pPr>
                  <w:r>
                    <w:rPr>
                      <w:rFonts w:ascii="Times New Roman" w:hAnsi="Times New Roman"/>
                      <w:sz w:val="24"/>
                      <w:szCs w:val="24"/>
                    </w:rPr>
                    <w:t xml:space="preserve">Опоры </w:t>
                  </w:r>
                </w:p>
              </w:tc>
              <w:tc>
                <w:tcPr>
                  <w:tcW w:w="3169" w:type="dxa"/>
                  <w:tcBorders>
                    <w:left w:val="single" w:sz="2" w:space="0" w:color="000001"/>
                    <w:bottom w:val="single" w:sz="2" w:space="0" w:color="000001"/>
                    <w:insideH w:val="single" w:sz="2" w:space="0" w:color="000001"/>
                  </w:tcBorders>
                  <w:shd w:color="auto" w:fill="auto" w:val="clear"/>
                  <w:tcMar>
                    <w:left w:w="21" w:type="dxa"/>
                  </w:tcMar>
                </w:tcPr>
                <w:p>
                  <w:pPr>
                    <w:pStyle w:val="Normal"/>
                    <w:numPr>
                      <w:ilvl w:val="0"/>
                      <w:numId w:val="0"/>
                    </w:numPr>
                    <w:spacing w:before="0" w:after="200"/>
                    <w:jc w:val="center"/>
                    <w:outlineLvl w:val="0"/>
                    <w:rPr>
                      <w:rFonts w:ascii="Times New Roman" w:hAnsi="Times New Roman"/>
                      <w:sz w:val="24"/>
                      <w:szCs w:val="24"/>
                    </w:rPr>
                  </w:pPr>
                  <w:r>
                    <w:rPr>
                      <w:rFonts w:ascii="Times New Roman" w:hAnsi="Times New Roman"/>
                      <w:sz w:val="24"/>
                      <w:szCs w:val="24"/>
                    </w:rPr>
                    <w:t xml:space="preserve">Одностоечная </w:t>
                    <w:br/>
                    <w:t xml:space="preserve">Одностоечная  с 1 укосом </w:t>
                    <w:br/>
                    <w:t xml:space="preserve">Одностоечная с 2 укосами </w:t>
                    <w:br/>
                    <w:t xml:space="preserve">1 укос </w:t>
                  </w:r>
                </w:p>
              </w:tc>
              <w:tc>
                <w:tcPr>
                  <w:tcW w:w="3170" w:type="dxa"/>
                  <w:tcBorders>
                    <w:left w:val="single" w:sz="2" w:space="0" w:color="000001"/>
                    <w:bottom w:val="single" w:sz="2" w:space="0" w:color="000001"/>
                    <w:right w:val="single" w:sz="2" w:space="0" w:color="000001"/>
                    <w:insideH w:val="single" w:sz="2" w:space="0" w:color="000001"/>
                    <w:insideV w:val="single" w:sz="2" w:space="0" w:color="000001"/>
                  </w:tcBorders>
                  <w:shd w:color="auto" w:fill="auto" w:val="clear"/>
                  <w:tcMar>
                    <w:left w:w="21" w:type="dxa"/>
                  </w:tcMar>
                </w:tcPr>
                <w:p>
                  <w:pPr>
                    <w:pStyle w:val="Normal"/>
                    <w:numPr>
                      <w:ilvl w:val="0"/>
                      <w:numId w:val="0"/>
                    </w:numPr>
                    <w:spacing w:before="0" w:after="0"/>
                    <w:jc w:val="center"/>
                    <w:outlineLvl w:val="0"/>
                    <w:rPr>
                      <w:rFonts w:ascii="Times New Roman" w:hAnsi="Times New Roman"/>
                      <w:sz w:val="24"/>
                      <w:szCs w:val="24"/>
                    </w:rPr>
                  </w:pPr>
                  <w:r>
                    <w:rPr>
                      <w:rFonts w:cs="Times New Roman" w:ascii="Times New Roman" w:hAnsi="Times New Roman"/>
                      <w:iCs/>
                      <w:sz w:val="24"/>
                      <w:szCs w:val="24"/>
                    </w:rPr>
                    <w:t>В достаточном объеме для выполнения СМР</w:t>
                  </w:r>
                </w:p>
                <w:p>
                  <w:pPr>
                    <w:pStyle w:val="Normal"/>
                    <w:numPr>
                      <w:ilvl w:val="0"/>
                      <w:numId w:val="0"/>
                    </w:numPr>
                    <w:spacing w:before="0" w:after="0"/>
                    <w:jc w:val="center"/>
                    <w:outlineLvl w:val="0"/>
                    <w:rPr>
                      <w:rFonts w:ascii="Times New Roman" w:hAnsi="Times New Roman"/>
                      <w:sz w:val="24"/>
                      <w:szCs w:val="24"/>
                    </w:rPr>
                  </w:pPr>
                  <w:r>
                    <w:rPr>
                      <w:rFonts w:cs="Times New Roman" w:ascii="Times New Roman" w:hAnsi="Times New Roman"/>
                      <w:iCs/>
                      <w:sz w:val="24"/>
                      <w:szCs w:val="24"/>
                    </w:rPr>
                    <w:t>(Объем определить на стадии проектирования)</w:t>
                  </w:r>
                </w:p>
              </w:tc>
            </w:tr>
          </w:tbl>
          <w:p>
            <w:pPr>
              <w:pStyle w:val="Normal"/>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suppressAutoHyphens w:val="true"/>
              <w:spacing w:lineRule="auto" w:line="240" w:before="0" w:after="0"/>
              <w:ind w:firstLine="540"/>
              <w:jc w:val="both"/>
              <w:rPr>
                <w:rFonts w:ascii="Times New Roman" w:hAnsi="Times New Roman"/>
                <w:sz w:val="24"/>
                <w:szCs w:val="24"/>
              </w:rPr>
            </w:pPr>
            <w:r>
              <w:rPr>
                <w:rFonts w:ascii="Times New Roman" w:hAnsi="Times New Roman"/>
                <w:sz w:val="24"/>
                <w:szCs w:val="24"/>
              </w:rPr>
            </w:r>
          </w:p>
          <w:p>
            <w:pPr>
              <w:pStyle w:val="Normal"/>
              <w:suppressAutoHyphens w:val="true"/>
              <w:spacing w:lineRule="auto" w:line="240" w:before="0" w:after="0"/>
              <w:ind w:firstLine="540"/>
              <w:jc w:val="both"/>
              <w:rPr/>
            </w:pPr>
            <w:r>
              <w:rPr>
                <w:rFonts w:ascii="Times New Roman" w:hAnsi="Times New Roman"/>
                <w:sz w:val="24"/>
                <w:szCs w:val="24"/>
              </w:rPr>
              <w:t xml:space="preserve">Заказчика, осуществляется Подрядчиком в соответствии с п. 1.3.1.3-7 настоящего ТТ. </w:t>
            </w:r>
          </w:p>
          <w:p>
            <w:pPr>
              <w:pStyle w:val="Normal"/>
              <w:shd w:val="clear" w:color="auto" w:fill="FFFFFF"/>
              <w:suppressAutoHyphens w:val="true"/>
              <w:spacing w:lineRule="auto" w:line="240" w:before="0" w:after="0"/>
              <w:ind w:firstLine="567"/>
              <w:jc w:val="both"/>
              <w:rPr/>
            </w:pPr>
            <w:r>
              <w:rPr>
                <w:rFonts w:ascii="Times New Roman" w:hAnsi="Times New Roman"/>
                <w:sz w:val="24"/>
                <w:szCs w:val="24"/>
              </w:rPr>
              <w:t>Заказчиком осуществляется поставка следующего оборудования:</w:t>
            </w:r>
          </w:p>
          <w:p>
            <w:pPr>
              <w:pStyle w:val="Normal"/>
              <w:shd w:val="clear" w:color="auto" w:fill="FFFFFF"/>
              <w:tabs>
                <w:tab w:val="left" w:pos="1418" w:leader="none"/>
              </w:tabs>
              <w:suppressAutoHyphens w:val="true"/>
              <w:spacing w:lineRule="auto" w:line="240" w:before="0" w:after="0"/>
              <w:ind w:firstLine="567"/>
              <w:jc w:val="both"/>
              <w:rPr/>
            </w:pPr>
            <w:r>
              <mc:AlternateContent>
                <mc:Choice Requires="wps">
                  <w:drawing>
                    <wp:anchor behindDoc="0" distT="0" distB="0" distL="114300" distR="114300" simplePos="0" locked="0" layoutInCell="1" allowOverlap="1" relativeHeight="2">
                      <wp:simplePos x="0" y="0"/>
                      <wp:positionH relativeFrom="margin">
                        <wp:posOffset>-40005</wp:posOffset>
                      </wp:positionH>
                      <wp:positionV relativeFrom="margin">
                        <wp:posOffset>-5562600</wp:posOffset>
                      </wp:positionV>
                      <wp:extent cx="6035675" cy="170180"/>
                      <wp:effectExtent l="0" t="0" r="0" b="0"/>
                      <wp:wrapSquare wrapText="bothSides"/>
                      <wp:docPr id="1" name="Врезка1"/>
                      <a:graphic xmlns:a="http://schemas.openxmlformats.org/drawingml/2006/main">
                        <a:graphicData uri="http://schemas.microsoft.com/office/word/2010/wordprocessingShape">
                          <wps:wsp>
                            <wps:cNvSpPr/>
                            <wps:spPr>
                              <a:xfrm>
                                <a:off x="0" y="0"/>
                                <a:ext cx="6035040" cy="169560"/>
                              </a:xfrm>
                              <a:prstGeom prst="rect">
                                <a:avLst/>
                              </a:prstGeom>
                              <a:noFill/>
                              <a:ln>
                                <a:noFill/>
                              </a:ln>
                            </wps:spPr>
                            <wps:style>
                              <a:lnRef idx="0"/>
                              <a:fillRef idx="0"/>
                              <a:effectRef idx="0"/>
                              <a:fontRef idx="minor"/>
                            </wps:style>
                            <wps:txbx>
                              <w:txbxContent>
                                <w:p>
                                  <w:pPr>
                                    <w:pStyle w:val="Style39"/>
                                    <w:spacing w:before="0" w:after="200"/>
                                    <w:rPr>
                                      <w:color w:val="000000"/>
                                    </w:rPr>
                                  </w:pPr>
                                  <w:r>
                                    <w:rPr>
                                      <w:color w:val="000000"/>
                                    </w:rPr>
                                  </w:r>
                                </w:p>
                              </w:txbxContent>
                            </wps:txbx>
                            <wps:bodyPr lIns="0" rIns="0" tIns="0" bIns="0">
                              <a:spAutoFit/>
                            </wps:bodyPr>
                          </wps:wsp>
                        </a:graphicData>
                      </a:graphic>
                    </wp:anchor>
                  </w:drawing>
                </mc:Choice>
                <mc:Fallback>
                  <w:pict>
                    <v:rect id="shape_0" ID="Врезка1" stroked="f" style="position:absolute;margin-left:-3.15pt;margin-top:-438pt;width:475.15pt;height:13.3pt;mso-position-horizontal-relative:margin;mso-position-vertical-relative:margin">
                      <w10:wrap type="none"/>
                      <v:fill o:detectmouseclick="t" on="false"/>
                      <v:stroke color="#3465a4" joinstyle="round" endcap="flat"/>
                      <v:textbox>
                        <w:txbxContent>
                          <w:p>
                            <w:pPr>
                              <w:pStyle w:val="Style39"/>
                              <w:spacing w:before="0" w:after="200"/>
                              <w:rPr>
                                <w:color w:val="000000"/>
                              </w:rPr>
                            </w:pPr>
                            <w:r>
                              <w:rPr>
                                <w:color w:val="000000"/>
                              </w:rPr>
                            </w:r>
                          </w:p>
                        </w:txbxContent>
                      </v:textbox>
                    </v:rect>
                  </w:pict>
                </mc:Fallback>
              </mc:AlternateContent>
            </w:r>
            <w:r>
              <w:rPr>
                <w:rFonts w:ascii="Times New Roman" w:hAnsi="Times New Roman"/>
                <w:sz w:val="24"/>
                <w:szCs w:val="24"/>
              </w:rPr>
              <w:t>2. Оборудование, закупаемое Заказчиком, передается Подрядчику после визуального осмотра на складе с составлением акта (при необходимости с последующим вскрытием упаковки) по актам передачи оборудования в монтаж ОС-15. Доставка на объект оборудования поставки Заказчика со склада осуществляется подрядчиком.</w:t>
            </w:r>
          </w:p>
          <w:p>
            <w:pPr>
              <w:pStyle w:val="Standard"/>
              <w:ind w:firstLine="540"/>
              <w:jc w:val="both"/>
              <w:rPr/>
            </w:pPr>
            <w:r>
              <w:rPr>
                <w:rFonts w:cs="Times New Roman" w:ascii="Times New Roman" w:hAnsi="Times New Roman"/>
                <w:sz w:val="24"/>
                <w:szCs w:val="24"/>
              </w:rPr>
              <w:t xml:space="preserve">3. </w:t>
            </w:r>
            <w:r>
              <w:rPr>
                <w:rFonts w:eastAsia="Batang" w:cs="Times New Roman" w:ascii="Times New Roman" w:hAnsi="Times New Roman"/>
                <w:sz w:val="24"/>
                <w:szCs w:val="24"/>
              </w:rPr>
              <w:t>Подрядчик в обязательном порядке письменно согласовывает с Заказчиком поставщика (производителя) оборудования и материалов.</w:t>
            </w:r>
          </w:p>
          <w:p>
            <w:pPr>
              <w:pStyle w:val="Standard"/>
              <w:ind w:firstLine="540"/>
              <w:jc w:val="both"/>
              <w:rPr/>
            </w:pPr>
            <w:r>
              <w:rPr>
                <w:rFonts w:eastAsia="Batang" w:cs="Times New Roman" w:ascii="Times New Roman" w:hAnsi="Times New Roman"/>
                <w:sz w:val="24"/>
                <w:szCs w:val="24"/>
              </w:rPr>
              <w:t xml:space="preserve">4. </w:t>
            </w:r>
            <w:r>
              <w:rPr>
                <w:rFonts w:cs="Times New Roman" w:ascii="Times New Roman" w:hAnsi="Times New Roman"/>
                <w:sz w:val="24"/>
                <w:szCs w:val="24"/>
              </w:rPr>
              <w:t>Тип и состав оборудования, закупаемого Подрядчиком, может быть изменен только в случае предварительного согласования с Заказчиком;</w:t>
            </w:r>
          </w:p>
          <w:p>
            <w:pPr>
              <w:pStyle w:val="Standard"/>
              <w:shd w:val="clear" w:color="auto" w:fill="FFFFFF"/>
              <w:ind w:firstLine="540"/>
              <w:jc w:val="both"/>
              <w:rPr/>
            </w:pPr>
            <w:r>
              <w:rPr>
                <w:rFonts w:cs="Times New Roman" w:ascii="Times New Roman" w:hAnsi="Times New Roman"/>
                <w:sz w:val="24"/>
                <w:szCs w:val="24"/>
              </w:rPr>
              <w:t>5. Поставку материалов и оборудования на объект, разгрузку и хранение материалов и конструкций осуществляет Подрядчик:</w:t>
            </w:r>
          </w:p>
          <w:p>
            <w:pPr>
              <w:pStyle w:val="ListParagraph"/>
              <w:tabs>
                <w:tab w:val="left" w:pos="607" w:leader="none"/>
              </w:tabs>
              <w:ind w:left="0" w:firstLine="530"/>
              <w:jc w:val="both"/>
              <w:rPr/>
            </w:pPr>
            <w:r>
              <w:rPr>
                <w:sz w:val="24"/>
                <w:szCs w:val="24"/>
                <w:lang w:val="ru-RU"/>
              </w:rPr>
              <w:t>6</w:t>
            </w:r>
            <w:r>
              <w:rPr>
                <w:sz w:val="24"/>
                <w:szCs w:val="24"/>
              </w:rPr>
              <w:t>. 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pPr>
              <w:pStyle w:val="ListParagraph"/>
              <w:tabs>
                <w:tab w:val="left" w:pos="607" w:leader="none"/>
              </w:tabs>
              <w:ind w:left="0" w:firstLine="530"/>
              <w:jc w:val="both"/>
              <w:rPr/>
            </w:pPr>
            <w:r>
              <w:rPr>
                <w:color w:val="000000"/>
                <w:sz w:val="24"/>
                <w:szCs w:val="24"/>
                <w:lang w:val="ru-RU"/>
              </w:rPr>
              <w:t xml:space="preserve">7. </w:t>
            </w:r>
            <w:r>
              <w:rPr>
                <w:color w:val="000000"/>
                <w:sz w:val="24"/>
                <w:szCs w:val="24"/>
              </w:rPr>
              <w:t xml:space="preserve">Поставка оборудования и материалов осуществляется Подрядчиком в соответствии с опросными листами и заказными спецификациями, разработанными в составе </w:t>
            </w:r>
            <w:r>
              <w:rPr>
                <w:color w:val="000000"/>
                <w:sz w:val="24"/>
                <w:szCs w:val="24"/>
                <w:lang w:val="ru-RU"/>
              </w:rPr>
              <w:t>проектной</w:t>
            </w:r>
            <w:r>
              <w:rPr>
                <w:color w:val="000000"/>
                <w:sz w:val="24"/>
                <w:szCs w:val="24"/>
              </w:rPr>
              <w:t xml:space="preserve"> документации,</w:t>
            </w:r>
            <w:r>
              <w:rPr>
                <w:sz w:val="24"/>
                <w:szCs w:val="24"/>
              </w:rPr>
              <w:t xml:space="preserve"> включая указания производителя продукции.</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1.3.2</w:t>
            </w:r>
            <w:r>
              <w:rPr>
                <w:rFonts w:eastAsia="Times New Roman" w:cs="Times New Roman" w:ascii="Times New Roman" w:hAnsi="Times New Roman"/>
                <w:sz w:val="24"/>
                <w:szCs w:val="24"/>
                <w:lang w:eastAsia="ru-RU"/>
              </w:rPr>
              <w:t>.</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i/>
                <w:iCs/>
                <w:sz w:val="24"/>
                <w:szCs w:val="24"/>
                <w:lang w:eastAsia="ru-RU"/>
              </w:rPr>
              <w:t>Требования к сертификации поставляемой продукции</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ListParagraph"/>
              <w:shd w:val="clear" w:color="auto" w:fill="FFFFFF"/>
              <w:ind w:left="0" w:firstLine="567"/>
              <w:jc w:val="both"/>
              <w:rPr>
                <w:bCs/>
                <w:sz w:val="24"/>
                <w:szCs w:val="24"/>
              </w:rPr>
            </w:pPr>
            <w:r>
              <w:rPr>
                <w:bCs/>
                <w:sz w:val="24"/>
                <w:szCs w:val="24"/>
              </w:rPr>
              <w:t xml:space="preserve"> </w:t>
            </w:r>
            <w:r>
              <w:rPr>
                <w:bCs/>
                <w:sz w:val="24"/>
                <w:szCs w:val="24"/>
              </w:rPr>
              <w:t>Поставляемая продукция должна соответствовать требованиям действующих на территории Российской федерации стандартов, ГОСТов и ТУ.</w:t>
            </w:r>
          </w:p>
          <w:p>
            <w:pPr>
              <w:pStyle w:val="ListParagraph"/>
              <w:shd w:val="clear" w:color="auto" w:fill="FFFFFF"/>
              <w:ind w:left="0" w:hanging="0"/>
              <w:jc w:val="both"/>
              <w:rPr>
                <w:sz w:val="24"/>
                <w:szCs w:val="24"/>
              </w:rPr>
            </w:pPr>
            <w:r>
              <w:rPr>
                <w:bCs/>
                <w:sz w:val="24"/>
                <w:szCs w:val="24"/>
              </w:rPr>
              <w:t xml:space="preserve">    </w:t>
            </w:r>
            <w:r>
              <w:rPr>
                <w:sz w:val="24"/>
                <w:szCs w:val="24"/>
              </w:rPr>
              <w:t>- Для оборудования российских производителей требуется выполнение ТУ или иных документов, подтверждающих соответствие техническим требованиям;</w:t>
            </w:r>
          </w:p>
          <w:p>
            <w:pPr>
              <w:pStyle w:val="Standard"/>
              <w:shd w:val="clear" w:color="auto" w:fill="FFFFFF"/>
              <w:jc w:val="both"/>
              <w:rPr/>
            </w:pPr>
            <w:r>
              <w:rPr>
                <w:rFonts w:ascii="Times New Roman" w:hAnsi="Times New Roman"/>
                <w:sz w:val="24"/>
                <w:szCs w:val="24"/>
              </w:rPr>
              <w:t xml:space="preserve">    </w:t>
            </w:r>
            <w:r>
              <w:rPr>
                <w:rFonts w:ascii="Times New Roman" w:hAnsi="Times New Roman"/>
                <w:sz w:val="24"/>
                <w:szCs w:val="24"/>
              </w:rPr>
              <w:t>-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Правилами обязательного подтверждения соответствия продукции, указанной в абзаце первом пункта 3 статьи Федерального закона «О техническом регулировании», утвержденными постановлением Правительства Российской Федерации от 24.07.2021 №1265(с изменениями);</w:t>
            </w:r>
          </w:p>
          <w:p>
            <w:pPr>
              <w:pStyle w:val="ListParagraph"/>
              <w:tabs>
                <w:tab w:val="left" w:pos="607" w:leader="none"/>
              </w:tabs>
              <w:ind w:left="0" w:firstLine="360"/>
              <w:jc w:val="both"/>
              <w:rPr>
                <w:bCs/>
                <w:sz w:val="24"/>
                <w:szCs w:val="24"/>
                <w:lang w:eastAsia="ru-RU"/>
              </w:rPr>
            </w:pPr>
            <w:r>
              <w:rPr>
                <w:sz w:val="24"/>
                <w:szCs w:val="24"/>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Pr>
                <w:spacing w:val="-1"/>
                <w:sz w:val="24"/>
                <w:szCs w:val="24"/>
              </w:rPr>
              <w:t>эксплуатации).</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1.3.3.</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Требования к материалам после демонтажа в случае необходимости</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ListParagraph"/>
              <w:shd w:val="clear" w:color="auto" w:fill="FFFFFF"/>
              <w:ind w:left="0" w:firstLine="567"/>
              <w:jc w:val="both"/>
              <w:rPr>
                <w:bCs/>
                <w:sz w:val="24"/>
                <w:szCs w:val="24"/>
              </w:rPr>
            </w:pPr>
            <w:r>
              <w:rPr>
                <w:bCs/>
                <w:sz w:val="24"/>
                <w:szCs w:val="24"/>
                <w:lang w:eastAsia="ru-RU"/>
              </w:rPr>
              <w:t xml:space="preserve"> </w:t>
            </w:r>
            <w:r>
              <w:rPr>
                <w:bCs/>
                <w:sz w:val="24"/>
                <w:szCs w:val="24"/>
                <w:lang w:eastAsia="ru-RU"/>
              </w:rPr>
              <w:t>Материалы и оборудование, высвободившиеся после демонтажа (при наличии), вывозятся Подрядчиком на склад базы структурного подразделения филиала АО «ДРСК» «Приморские ЭС», в чьем ведомстве находится реконструируемый объект, и передаются Подрядчиком Заказчику, с оформлением Акта об оприходовании материальных ценностей, полученных при разборке и демонтаже основных средств подрядными организациями (приложение № 1-6/31 к Приказу «Об учетной политике АО «ДРСК» - запросить у Заказчика при исполнении договора).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sz w:val="24"/>
                <w:szCs w:val="24"/>
              </w:rPr>
            </w:pPr>
            <w:r>
              <w:rPr>
                <w:rFonts w:eastAsia="Times New Roman" w:cs="Times New Roman" w:ascii="Times New Roman" w:hAnsi="Times New Roman"/>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контролю качества работ и материалов</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1.4.1.</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Контроль качества работ</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1. Подрядчик организовывает контроль качества выполнения работ в соответствии с требованиями, изложенными в Постановлении Правительства Российской Федерации от 21 июня 2010 г.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2. Контроль выполнения работ производится представителями Заказчика и/или лицом, осуществляющим технический надзор на строительной площадке, назначенными приказом по филиалу АО «ДРСК». Контролируются: сроки выполнения работ, качество, объёмы, технология и номенклатура работ, обеспечение безопасных условий труда, сохранности оборудования, сооружений и устройств.</w:t>
            </w:r>
          </w:p>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3. Представителям Заказчика должен быть обеспечен беспрепятственный доступ на строительную площадку в течение всего периода производства работ. Указания технического надзора Заказчика являются обязательными и подлежат беспрекословному выполнению.</w:t>
            </w:r>
          </w:p>
          <w:p>
            <w:pPr>
              <w:pStyle w:val="ListParagraph"/>
              <w:ind w:left="0" w:firstLine="360"/>
              <w:jc w:val="both"/>
              <w:rPr>
                <w:b/>
                <w:b/>
                <w:bCs/>
                <w:sz w:val="24"/>
                <w:szCs w:val="24"/>
                <w:lang w:eastAsia="ru-RU"/>
              </w:rPr>
            </w:pPr>
            <w:r>
              <w:rPr>
                <w:sz w:val="24"/>
                <w:szCs w:val="24"/>
                <w:lang w:eastAsia="ru-RU"/>
              </w:rPr>
              <w:t xml:space="preserve">4. При нарушении технологии производства работ, отступлений от ППР, требований ТУ, применении материалов, не соответствующих ГОСТам и ТУ, работы прекращаются по указанию лица, осуществляющего технический надзор, и устанавливается срок устранения нарушения.  </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1.4.2</w:t>
            </w:r>
            <w:r>
              <w:rPr>
                <w:rFonts w:eastAsia="Times New Roman" w:cs="Times New Roman" w:ascii="Times New Roman" w:hAnsi="Times New Roman"/>
                <w:sz w:val="24"/>
                <w:szCs w:val="24"/>
                <w:lang w:eastAsia="ru-RU"/>
              </w:rPr>
              <w:t>.</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i/>
                <w:iCs/>
                <w:sz w:val="24"/>
                <w:szCs w:val="24"/>
                <w:lang w:eastAsia="ru-RU"/>
              </w:rPr>
              <w:t>Освидетельствование скрытых работ</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ListParagraph"/>
              <w:tabs>
                <w:tab w:val="left" w:pos="0" w:leader="none"/>
                <w:tab w:val="left" w:pos="1134" w:leader="none"/>
                <w:tab w:val="left" w:pos="1276" w:leader="none"/>
              </w:tabs>
              <w:ind w:left="0" w:firstLine="397"/>
              <w:jc w:val="both"/>
              <w:rPr>
                <w:sz w:val="24"/>
                <w:szCs w:val="24"/>
              </w:rPr>
            </w:pPr>
            <w:r>
              <w:rPr>
                <w:sz w:val="24"/>
                <w:szCs w:val="24"/>
                <w:lang w:eastAsia="ru-RU"/>
              </w:rPr>
              <w:t xml:space="preserve"> </w:t>
            </w:r>
            <w:r>
              <w:rPr>
                <w:sz w:val="24"/>
                <w:szCs w:val="24"/>
                <w:lang w:eastAsia="ru-RU"/>
              </w:rPr>
              <w:t xml:space="preserve">Подрядчик при необходимости письменно уведомляет Заказчика о необходимости проведения освидетельствования и / или приемки Скрытых работ. </w:t>
            </w:r>
            <w:r>
              <w:rPr>
                <w:rFonts w:eastAsia="Calibri"/>
                <w:spacing w:val="-1"/>
                <w:sz w:val="24"/>
                <w:szCs w:val="24"/>
                <w:lang w:eastAsia="ru-RU"/>
              </w:rPr>
              <w:t>Указанное уведомление должно быть получено Заказчиком заблаговременно, но не позднее, чем за 5 (пять)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1.4.3.</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Контроль качества используемых материалов и оборудования</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ListParagraph"/>
              <w:spacing w:before="0" w:after="60"/>
              <w:ind w:left="0" w:firstLine="345"/>
              <w:jc w:val="both"/>
              <w:rPr>
                <w:rFonts w:eastAsia="Calibri"/>
                <w:sz w:val="24"/>
                <w:szCs w:val="24"/>
                <w:lang w:eastAsia="ru-RU"/>
              </w:rPr>
            </w:pPr>
            <w:r>
              <w:rPr>
                <w:rFonts w:eastAsia="Calibri"/>
                <w:sz w:val="24"/>
                <w:szCs w:val="24"/>
                <w:lang w:val="ru-RU" w:eastAsia="ru-RU"/>
              </w:rPr>
              <w:t xml:space="preserve">  </w:t>
            </w:r>
            <w:r>
              <w:rPr>
                <w:rFonts w:eastAsia="Calibri"/>
                <w:sz w:val="24"/>
                <w:szCs w:val="24"/>
                <w:lang w:val="ru-RU" w:eastAsia="ru-RU"/>
              </w:rPr>
              <w:t>1. Поставляемая Подрядчиком продукция должна сопровождаться технической документацией (технический паспорт завода–изготовителя, руководство по эксплуатации, инструкция по эксплуатации и монтажу, протоколы испытаний, свидетельства о поверке и т.п.) на русском языке, подготовленной в соответствии с ГОСТ Р 59853-2021, ГОСТ 34.201-2020, ГОСТ 8733-74, ГОСТ Р 2.601-2019, и подтверждаться сертификатами качества, сертификатами соответствия, сертификатами безопасности, пожарными сертификатами, гарантийными свидетельствами заводов-изготовителей.</w:t>
            </w:r>
          </w:p>
          <w:p>
            <w:pPr>
              <w:pStyle w:val="Normal"/>
              <w:spacing w:before="0" w:after="0"/>
              <w:ind w:firstLine="487"/>
              <w:jc w:val="both"/>
              <w:rPr>
                <w:rFonts w:ascii="Times New Roman" w:hAnsi="Times New Roman" w:cs="Times New Roman"/>
                <w:bCs/>
                <w:sz w:val="24"/>
                <w:szCs w:val="24"/>
              </w:rPr>
            </w:pPr>
            <w:r>
              <w:rPr>
                <w:rFonts w:cs="Times New Roman" w:ascii="Times New Roman" w:hAnsi="Times New Roman"/>
                <w:sz w:val="24"/>
                <w:szCs w:val="24"/>
              </w:rPr>
              <w:t>2. Надлежащим образом заверенные копии сертификатов, технических паспортов и результатов испытаний должны быть предоставлены Заказчику.</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1.5.</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персоналу подрядчика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1.5.1.</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Квалификация персонала подрядчика, привлекаемого к выполнению работ</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Cs/>
                <w:sz w:val="24"/>
                <w:szCs w:val="24"/>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 разряде и группе по электробезопасности  с приложением копий  удостоверений на производство специальных видов работ (огневых, грузоподъемных, работ с электро - и пневмоинструментом) (возможно совмещение специальностей).</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Требования к безопасности работ и охране труда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268"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1.6.1.</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ind w:firstLine="312"/>
              <w:contextualSpacing/>
              <w:jc w:val="both"/>
              <w:rPr>
                <w:sz w:val="24"/>
                <w:szCs w:val="24"/>
              </w:rPr>
            </w:pPr>
            <w:r>
              <w:rPr>
                <w:rFonts w:eastAsia="Times New Roman" w:cs="Times New Roman" w:ascii="Times New Roman" w:hAnsi="Times New Roman"/>
                <w:color w:val="000000" w:themeColor="text1"/>
                <w:sz w:val="24"/>
                <w:szCs w:val="24"/>
                <w:lang w:eastAsia="ru-RU"/>
              </w:rPr>
              <w:t>Работы,  производимые в действующих электроустановках, необходимо проводить с согласованными действиями и мероприятиями по охране труда согласно требованиям главы XLVI "</w:t>
            </w:r>
            <w:r>
              <w:rPr>
                <w:rFonts w:eastAsia="Times New Roman" w:cs="Times New Roman" w:ascii="Times New Roman" w:hAnsi="Times New Roman"/>
                <w:sz w:val="24"/>
                <w:szCs w:val="24"/>
                <w:lang w:eastAsia="ru-RU"/>
              </w:rPr>
              <w:t>Охрана труда при организации работ командированного персонала», Правила по охране труда при эксплуатации электроустановок, утвержденных приказом Министерства труда и социальной защиты РФ от 15 декабря 2020 г. № 903н (ред. от 29.04.2022).</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1.6.2.</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vAlign w:val="center"/>
          </w:tcPr>
          <w:p>
            <w:pPr>
              <w:pStyle w:val="Normal"/>
              <w:widowControl w:val="false"/>
              <w:spacing w:lineRule="auto" w:line="240" w:before="0" w:after="0"/>
              <w:jc w:val="both"/>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t xml:space="preserve">В процессе проведения строительных работ и после их завершения, собственными силами и в счет договорной цены Подрядчик обеспечивает соблюдение требований ГОСТ Р 59053-2020. «Национальный стандарт Российской Федерации. Охрана окружающей среды. Охрана и рациональное использование вод», </w:t>
            </w:r>
            <w:r>
              <w:rPr>
                <w:rFonts w:eastAsia="Times New Roman" w:cs="Times New Roman" w:ascii="Times New Roman" w:hAnsi="Times New Roman"/>
                <w:color w:val="1C1C1C"/>
                <w:sz w:val="24"/>
                <w:szCs w:val="24"/>
                <w:shd w:fill="FFFFFF" w:val="clear"/>
                <w:lang w:eastAsia="ru-RU"/>
              </w:rPr>
              <w:t>ГОСТ 17.2.1.04-77</w:t>
            </w:r>
            <w:r>
              <w:rPr>
                <w:rFonts w:eastAsia="Times New Roman" w:cs="Times New Roman" w:ascii="Times New Roman" w:hAnsi="Times New Roman"/>
                <w:color w:val="1C1C1C"/>
                <w:sz w:val="24"/>
                <w:szCs w:val="24"/>
                <w:lang w:eastAsia="ru-RU"/>
              </w:rPr>
              <w:t xml:space="preserve"> </w:t>
            </w:r>
            <w:r>
              <w:rPr>
                <w:rFonts w:eastAsia="Times New Roman" w:cs="Times New Roman" w:ascii="Times New Roman" w:hAnsi="Times New Roman"/>
                <w:sz w:val="24"/>
                <w:szCs w:val="24"/>
                <w:lang w:eastAsia="ru-RU"/>
              </w:rPr>
              <w:t>«Охрана природы. Атмосфера. Источники и метеорологические факторы загрязнения, промышленные выбросы» (с изм. №1, утв. В июне 1983 г.).</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1.6.</w:t>
            </w:r>
            <w:r>
              <w:rPr>
                <w:rFonts w:eastAsia="Times New Roman" w:cs="Times New Roman" w:ascii="Times New Roman" w:hAnsi="Times New Roman"/>
                <w:b/>
                <w:bCs/>
                <w:sz w:val="24"/>
                <w:szCs w:val="24"/>
                <w:lang w:val="en-US" w:eastAsia="ru-RU"/>
              </w:rPr>
              <w:t>3</w:t>
            </w:r>
            <w:r>
              <w:rPr>
                <w:rFonts w:eastAsia="Times New Roman" w:cs="Times New Roman" w:ascii="Times New Roman" w:hAnsi="Times New Roman"/>
                <w:b/>
                <w:bCs/>
                <w:sz w:val="24"/>
                <w:szCs w:val="24"/>
                <w:lang w:eastAsia="ru-RU"/>
              </w:rPr>
              <w:t>.</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vAlign w:val="center"/>
          </w:tcPr>
          <w:p>
            <w:pPr>
              <w:pStyle w:val="Normal"/>
              <w:spacing w:lineRule="auto" w:line="240" w:before="0" w:after="0"/>
              <w:ind w:firstLine="312"/>
              <w:rPr>
                <w:sz w:val="24"/>
                <w:szCs w:val="24"/>
              </w:rPr>
            </w:pPr>
            <w:r>
              <w:rPr>
                <w:rFonts w:eastAsia="Times New Roman" w:cs="Times New Roman" w:ascii="Times New Roman" w:hAnsi="Times New Roman"/>
                <w:sz w:val="24"/>
                <w:szCs w:val="24"/>
                <w:lang w:eastAsia="ru-RU"/>
              </w:rPr>
              <w:t>Подрядчик (Исполнитель по договору подряда)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w:t>
            </w:r>
          </w:p>
        </w:tc>
        <w:tc>
          <w:tcPr>
            <w:tcW w:w="15450"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результатам работ</w:t>
            </w:r>
          </w:p>
        </w:tc>
      </w:tr>
      <w:tr>
        <w:trPr>
          <w:trHeight w:val="243"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2.1.</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Общие требования к результатам работ</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463"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2.1.1.</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Результат работ</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Cs/>
                <w:sz w:val="24"/>
                <w:szCs w:val="24"/>
                <w:lang w:eastAsia="ru-RU"/>
              </w:rPr>
              <w:t>Работы должны быть выполнены в полном объеме в соответствии с разработанной и согласованной Заказчиком рабочей документацией.</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ind w:left="123" w:hanging="0"/>
              <w:rPr>
                <w:b/>
                <w:b/>
                <w:bCs/>
                <w:sz w:val="24"/>
                <w:szCs w:val="24"/>
              </w:rPr>
            </w:pPr>
            <w:r>
              <w:rPr>
                <w:rFonts w:eastAsia="Times New Roman" w:cs="Times New Roman" w:ascii="Times New Roman" w:hAnsi="Times New Roman"/>
                <w:b/>
                <w:bCs/>
                <w:sz w:val="24"/>
                <w:szCs w:val="24"/>
                <w:lang w:eastAsia="ru-RU"/>
              </w:rPr>
              <w:t>2.2.</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порядку приемки результатов работ</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581"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2.2.1.</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Cs/>
                <w:sz w:val="24"/>
                <w:szCs w:val="24"/>
              </w:rPr>
            </w:pP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sz w:val="24"/>
                <w:szCs w:val="24"/>
                <w:lang w:eastAsia="ru-RU"/>
              </w:rPr>
              <w:t>Приемка выполненных работ осуществляется Заказчиком в соответствии с условиями заключенного договора подряда.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оформлению документации при приемке работ</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553"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2.3.1.</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Требования к передаваемой документации при приемке кадастровых работ, составу передаваемых ПУД на использование ЗУ.</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Standard"/>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iCs/>
                <w:spacing w:val="-7"/>
                <w:sz w:val="24"/>
                <w:szCs w:val="24"/>
              </w:rPr>
              <w:t>1.</w:t>
            </w:r>
            <w:r>
              <w:rPr>
                <w:rFonts w:ascii="Times New Roman" w:hAnsi="Times New Roman"/>
                <w:b/>
                <w:iCs/>
                <w:spacing w:val="-7"/>
                <w:sz w:val="24"/>
                <w:szCs w:val="24"/>
              </w:rPr>
              <w:t xml:space="preserve"> </w:t>
            </w:r>
            <w:r>
              <w:rPr>
                <w:rFonts w:ascii="Times New Roman" w:hAnsi="Times New Roman"/>
                <w:iCs/>
                <w:spacing w:val="-7"/>
                <w:sz w:val="24"/>
                <w:szCs w:val="24"/>
              </w:rPr>
              <w:t>Акты выполненных работ по форме З-1 оформить по каждому объекту строительства таблицы 1, с указанием наименований объектов и заявителя.</w:t>
            </w:r>
          </w:p>
          <w:p>
            <w:pPr>
              <w:pStyle w:val="Standard"/>
              <w:shd w:val="clear" w:color="auto" w:fill="FFFFFF"/>
              <w:jc w:val="both"/>
              <w:rPr>
                <w:rFonts w:ascii="Times New Roman" w:hAnsi="Times New Roman"/>
                <w:sz w:val="24"/>
                <w:szCs w:val="24"/>
              </w:rPr>
            </w:pPr>
            <w:r>
              <w:rPr>
                <w:rFonts w:ascii="Times New Roman" w:hAnsi="Times New Roman"/>
                <w:iCs/>
                <w:spacing w:val="-7"/>
                <w:sz w:val="24"/>
                <w:szCs w:val="24"/>
              </w:rPr>
              <w:t xml:space="preserve">    </w:t>
            </w:r>
            <w:r>
              <w:rPr>
                <w:rFonts w:ascii="Times New Roman" w:hAnsi="Times New Roman"/>
                <w:iCs/>
                <w:spacing w:val="-7"/>
                <w:sz w:val="24"/>
                <w:szCs w:val="24"/>
              </w:rPr>
              <w:t xml:space="preserve">2. Вместе с актами выполненных работ Подрядчик передает документы, оформленные в соответствии </w:t>
            </w:r>
            <w:r>
              <w:rPr>
                <w:rFonts w:ascii="Times New Roman" w:hAnsi="Times New Roman"/>
                <w:i/>
                <w:iCs/>
                <w:spacing w:val="-7"/>
                <w:sz w:val="24"/>
                <w:szCs w:val="24"/>
              </w:rPr>
              <w:t xml:space="preserve">с требованиями п.1.1.2. настоящей таблицы, </w:t>
            </w:r>
            <w:r>
              <w:rPr>
                <w:rFonts w:ascii="Times New Roman" w:hAnsi="Times New Roman"/>
                <w:iCs/>
                <w:spacing w:val="-7"/>
                <w:sz w:val="24"/>
                <w:szCs w:val="24"/>
              </w:rPr>
              <w:t>в том числе:</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выписка из ЕГРН сведения о характеристиках объекта недвижимости;</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принятое уполномоченным органом власти на установление публичного сервитута, в установленном порядке Решение об установлении публичного сервитута в 1 оригинальном экземпляре на бумажном носителе, в электронном виде, в формате* pdf;</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Описание границ публичного сервитута, оформленное в соответствии с требованиями, установленными Приказом Росреестра от 13.01.2021 N П/0004 в 2 экземплярах на бумажном носителе и в электронном формате *XML, созданного с использованием XML-схем на оптических носителях (компакт-дисках, в 2 экземплярах), на каждое решение об установлении сервитута, принятое уполномоченным органом власти, отдельно;</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Разрешения на использование земель или земельного участка, части (частей) земельного участка для размещения объектов, выдаваемого органом, уполномоченным на распоряжение земельными участками, находящимися в государственной или муниципальной собственности, в 1 экземпляре на бумажном носителе, электронном виде, в формате* pdf;</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Схема границ предполагаемых к использованию земель или части земельного участка на кадастровом плане территории, в количестве 4 (четырех) экземпляров на бумажном носителе и в форме электронного документа в виде файлов в формате *.dwg (графическая часть) и *.doc (текстовая часть);</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Акт закрепления границ земельного(ых) участка(ов) и(или) земель на местности (вынос в натуру) Заказчику в 2 оригинальных экземплярах на бумажном носителе.</w:t>
            </w:r>
          </w:p>
          <w:p>
            <w:pPr>
              <w:pStyle w:val="Standard"/>
              <w:shd w:val="clear" w:color="auto" w:fill="FFFFFF"/>
              <w:ind w:firstLine="567"/>
              <w:jc w:val="both"/>
              <w:rPr>
                <w:rFonts w:ascii="Times New Roman" w:hAnsi="Times New Roman"/>
                <w:sz w:val="24"/>
                <w:szCs w:val="24"/>
              </w:rPr>
            </w:pPr>
            <w:r>
              <w:rPr>
                <w:rFonts w:ascii="Times New Roman" w:hAnsi="Times New Roman"/>
                <w:iCs/>
                <w:color w:val="7030A0"/>
                <w:spacing w:val="-7"/>
                <w:sz w:val="24"/>
                <w:szCs w:val="24"/>
              </w:rPr>
              <w:t xml:space="preserve">-  </w:t>
            </w:r>
            <w:r>
              <w:rPr>
                <w:rFonts w:ascii="Times New Roman" w:hAnsi="Times New Roman"/>
                <w:iCs/>
                <w:spacing w:val="-7"/>
                <w:sz w:val="24"/>
                <w:szCs w:val="24"/>
              </w:rPr>
              <w:t>Проект освоения лесов;</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Лесная декларация;</w:t>
            </w:r>
          </w:p>
          <w:p>
            <w:pPr>
              <w:pStyle w:val="Standard"/>
              <w:shd w:val="clear" w:color="auto" w:fill="FFFFFF"/>
              <w:ind w:firstLine="567"/>
              <w:jc w:val="both"/>
              <w:rPr>
                <w:rFonts w:ascii="Times New Roman" w:hAnsi="Times New Roman"/>
                <w:iCs/>
                <w:spacing w:val="-7"/>
                <w:sz w:val="24"/>
                <w:szCs w:val="24"/>
              </w:rPr>
            </w:pPr>
            <w:r>
              <w:rPr>
                <w:rFonts w:ascii="Times New Roman" w:hAnsi="Times New Roman"/>
                <w:iCs/>
                <w:spacing w:val="-7"/>
                <w:sz w:val="24"/>
                <w:szCs w:val="24"/>
              </w:rPr>
              <w:t>-  Соглашение об установлении сервитута на части лесного участка;</w:t>
            </w:r>
          </w:p>
          <w:p>
            <w:pPr>
              <w:pStyle w:val="ListParagraph"/>
              <w:tabs>
                <w:tab w:val="left" w:pos="607" w:leader="none"/>
                <w:tab w:val="left" w:pos="993" w:leader="none"/>
                <w:tab w:val="left" w:pos="2167" w:leader="none"/>
              </w:tabs>
              <w:ind w:left="466" w:firstLine="21"/>
              <w:jc w:val="both"/>
              <w:rPr>
                <w:sz w:val="24"/>
                <w:szCs w:val="24"/>
                <w:lang w:eastAsia="ru-RU"/>
              </w:rPr>
            </w:pPr>
            <w:r>
              <w:rPr>
                <w:bCs/>
                <w:iCs/>
                <w:spacing w:val="-7"/>
                <w:sz w:val="24"/>
                <w:szCs w:val="24"/>
                <w:lang w:val="ru-RU"/>
              </w:rPr>
              <w:t xml:space="preserve"> </w:t>
            </w:r>
            <w:r>
              <w:rPr>
                <w:bCs/>
                <w:iCs/>
                <w:spacing w:val="-7"/>
                <w:sz w:val="24"/>
                <w:szCs w:val="24"/>
              </w:rPr>
              <w:t>-  Проект лесовосстановления.</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rHeight w:val="553"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2.3.2.</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Требования к передаваемой документации при приемке проектных работ</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Standard"/>
              <w:shd w:val="clear" w:color="auto" w:fill="FFFFFF"/>
              <w:ind w:firstLine="567"/>
              <w:jc w:val="both"/>
              <w:rPr>
                <w:rFonts w:ascii="Times New Roman" w:hAnsi="Times New Roman"/>
                <w:sz w:val="24"/>
                <w:szCs w:val="24"/>
              </w:rPr>
            </w:pPr>
            <w:r>
              <w:rPr>
                <w:rFonts w:eastAsia="Times New Roman" w:cs="Times New Roman" w:ascii="Times New Roman" w:hAnsi="Times New Roman"/>
                <w:sz w:val="24"/>
                <w:szCs w:val="24"/>
                <w:lang w:eastAsia="ru-RU"/>
              </w:rPr>
              <w:t xml:space="preserve">1. Подрядчик в день завершения работ по оформлению рабочей документации, направляет в филиал АО «ДРСК» «ПЭС» Акт сдачи-приемки выполненных работ, оформленный по форме ПР-2, с указанием сумм </w:t>
            </w:r>
            <w:r>
              <w:rPr>
                <w:rFonts w:eastAsia="Times New Roman" w:cs="Times New Roman" w:ascii="Times New Roman" w:hAnsi="Times New Roman"/>
                <w:iCs/>
                <w:spacing w:val="-7"/>
                <w:sz w:val="24"/>
                <w:szCs w:val="24"/>
                <w:lang w:eastAsia="ru-RU"/>
              </w:rPr>
              <w:t>по каждому объекту таблицы 1, с указанием наименований объектов и заявителя.</w:t>
            </w:r>
          </w:p>
          <w:p>
            <w:pPr>
              <w:pStyle w:val="Standard"/>
              <w:widowControl w:val="false"/>
              <w:shd w:val="clear" w:color="auto" w:fill="FFFFFF"/>
              <w:tabs>
                <w:tab w:val="left" w:pos="607" w:leader="none"/>
                <w:tab w:val="left" w:pos="851" w:leader="none"/>
                <w:tab w:val="left" w:pos="993" w:leader="none"/>
                <w:tab w:val="left" w:pos="2167" w:leader="none"/>
              </w:tabs>
              <w:ind w:firstLine="567"/>
              <w:jc w:val="both"/>
              <w:rPr>
                <w:rFonts w:ascii="Times New Roman" w:hAnsi="Times New Roman"/>
                <w:sz w:val="24"/>
                <w:szCs w:val="24"/>
              </w:rPr>
            </w:pPr>
            <w:r>
              <w:rPr>
                <w:rFonts w:eastAsia="Times New Roman" w:cs="Times New Roman" w:ascii="Times New Roman" w:hAnsi="Times New Roman"/>
                <w:iCs/>
                <w:spacing w:val="-7"/>
                <w:sz w:val="24"/>
                <w:szCs w:val="24"/>
                <w:lang w:eastAsia="ru-RU"/>
              </w:rPr>
              <w:t xml:space="preserve">2. Вместе с актами выполненных работ Подрядчик передает </w:t>
            </w:r>
            <w:r>
              <w:rPr>
                <w:rFonts w:eastAsia="Times New Roman" w:cs="Times New Roman" w:ascii="Times New Roman" w:hAnsi="Times New Roman"/>
                <w:bCs/>
                <w:iCs/>
                <w:spacing w:val="-7"/>
                <w:sz w:val="24"/>
                <w:szCs w:val="24"/>
                <w:lang w:eastAsia="ru-RU"/>
              </w:rPr>
              <w:t xml:space="preserve">по акту приемки-передачи </w:t>
            </w:r>
            <w:r>
              <w:rPr>
                <w:rFonts w:eastAsia="Times New Roman" w:cs="Times New Roman" w:ascii="Times New Roman" w:hAnsi="Times New Roman"/>
                <w:iCs/>
                <w:spacing w:val="-7"/>
                <w:sz w:val="24"/>
                <w:szCs w:val="24"/>
                <w:lang w:eastAsia="ru-RU"/>
              </w:rPr>
              <w:t xml:space="preserve">проектную (рабочую) документацию и сметную документацию на выполнение СМР в бумажном и электронном виде </w:t>
            </w:r>
            <w:r>
              <w:rPr>
                <w:rFonts w:eastAsia="Times New Roman" w:cs="Times New Roman" w:ascii="Times New Roman" w:hAnsi="Times New Roman"/>
                <w:bCs/>
                <w:sz w:val="24"/>
                <w:szCs w:val="24"/>
                <w:lang w:eastAsia="ru-RU"/>
              </w:rPr>
              <w:t>в следующие подразделения филиала АО «ДРСК» «ПЭС» и в следующем порядке:</w:t>
            </w:r>
          </w:p>
          <w:p>
            <w:pPr>
              <w:pStyle w:val="Standard"/>
              <w:widowControl w:val="false"/>
              <w:tabs>
                <w:tab w:val="left" w:pos="0" w:leader="none"/>
              </w:tabs>
              <w:ind w:firstLine="567"/>
              <w:jc w:val="both"/>
              <w:rPr>
                <w:rFonts w:ascii="Times New Roman" w:hAnsi="Times New Roman"/>
                <w:bCs/>
                <w:sz w:val="24"/>
                <w:szCs w:val="24"/>
              </w:rPr>
            </w:pPr>
            <w:r>
              <w:rPr>
                <w:rFonts w:eastAsia="Times New Roman" w:cs="Times New Roman" w:ascii="Times New Roman" w:hAnsi="Times New Roman"/>
                <w:bCs/>
                <w:sz w:val="24"/>
                <w:szCs w:val="24"/>
                <w:lang w:eastAsia="ru-RU"/>
              </w:rPr>
              <w:t>- в РЭС - 1 бумажный экземпляр ПД (РД);</w:t>
            </w:r>
          </w:p>
          <w:p>
            <w:pPr>
              <w:pStyle w:val="Standard"/>
              <w:widowControl w:val="false"/>
              <w:tabs>
                <w:tab w:val="left" w:pos="0" w:leader="none"/>
              </w:tabs>
              <w:ind w:firstLine="567"/>
              <w:jc w:val="both"/>
              <w:rPr>
                <w:rFonts w:ascii="Times New Roman" w:hAnsi="Times New Roman"/>
                <w:bCs/>
                <w:sz w:val="24"/>
                <w:szCs w:val="24"/>
              </w:rPr>
            </w:pPr>
            <w:r>
              <w:rPr>
                <w:rFonts w:eastAsia="Times New Roman" w:cs="Times New Roman" w:ascii="Times New Roman" w:hAnsi="Times New Roman"/>
                <w:bCs/>
                <w:sz w:val="24"/>
                <w:szCs w:val="24"/>
                <w:lang w:eastAsia="ru-RU"/>
              </w:rPr>
              <w:t>- в СП - 1 бумажный экземпляр ПД (РД);</w:t>
            </w:r>
          </w:p>
          <w:p>
            <w:pPr>
              <w:pStyle w:val="Standard"/>
              <w:widowControl w:val="false"/>
              <w:shd w:val="clear" w:color="auto" w:fill="FFFFFF"/>
              <w:tabs>
                <w:tab w:val="left" w:pos="0" w:leader="none"/>
              </w:tabs>
              <w:ind w:firstLine="567"/>
              <w:jc w:val="both"/>
              <w:rPr>
                <w:rFonts w:ascii="Times New Roman" w:hAnsi="Times New Roman"/>
                <w:sz w:val="24"/>
                <w:szCs w:val="24"/>
              </w:rPr>
            </w:pPr>
            <w:r>
              <w:rPr>
                <w:rFonts w:eastAsia="Times New Roman" w:cs="Times New Roman" w:ascii="Times New Roman" w:hAnsi="Times New Roman"/>
                <w:bCs/>
                <w:iCs/>
                <w:color w:val="000000"/>
                <w:spacing w:val="-7"/>
                <w:sz w:val="24"/>
                <w:szCs w:val="24"/>
                <w:lang w:eastAsia="ru-RU"/>
              </w:rPr>
              <w:t xml:space="preserve">- в Отдел капитального строительства и инвестиций филиала ПЭС сопроводительным письмом (1 бумажный экземпляр проектной (рабочей) документации, оформленный в соответствии с п.1.1.4 настоящей таблицы, и сметной документации на выполнение СМР и 1 экземпляр ПСД в электронном виде (на </w:t>
            </w:r>
            <w:r>
              <w:rPr>
                <w:rFonts w:eastAsia="Times New Roman" w:cs="Times New Roman" w:ascii="Times New Roman" w:hAnsi="Times New Roman"/>
                <w:bCs/>
                <w:iCs/>
                <w:color w:val="000000"/>
                <w:spacing w:val="-7"/>
                <w:sz w:val="24"/>
                <w:szCs w:val="24"/>
                <w:lang w:val="en-US" w:eastAsia="ru-RU"/>
              </w:rPr>
              <w:t>CD</w:t>
            </w:r>
            <w:r>
              <w:rPr>
                <w:rFonts w:eastAsia="Times New Roman" w:cs="Times New Roman" w:ascii="Times New Roman" w:hAnsi="Times New Roman"/>
                <w:bCs/>
                <w:iCs/>
                <w:color w:val="000000"/>
                <w:spacing w:val="-7"/>
                <w:sz w:val="24"/>
                <w:szCs w:val="24"/>
                <w:lang w:eastAsia="ru-RU"/>
              </w:rPr>
              <w:t xml:space="preserve">) </w:t>
            </w:r>
            <w:r>
              <w:rPr>
                <w:rFonts w:eastAsia="Times New Roman" w:cs="Times New Roman" w:ascii="Times New Roman" w:hAnsi="Times New Roman"/>
                <w:iCs/>
                <w:color w:val="000000"/>
                <w:spacing w:val="-7"/>
                <w:sz w:val="24"/>
                <w:szCs w:val="24"/>
                <w:lang w:eastAsia="ru-RU"/>
              </w:rPr>
              <w:t>в форматах:</w:t>
            </w:r>
          </w:p>
          <w:p>
            <w:pPr>
              <w:pStyle w:val="Standard"/>
              <w:widowControl w:val="false"/>
              <w:shd w:val="clear" w:color="auto" w:fill="FFFFFF"/>
              <w:tabs>
                <w:tab w:val="left" w:pos="607" w:leader="none"/>
                <w:tab w:val="left" w:pos="851" w:leader="none"/>
                <w:tab w:val="left" w:pos="993" w:leader="none"/>
                <w:tab w:val="left" w:pos="2167" w:leader="none"/>
              </w:tabs>
              <w:ind w:firstLine="567"/>
              <w:jc w:val="both"/>
              <w:rPr>
                <w:rFonts w:ascii="Times New Roman" w:hAnsi="Times New Roman" w:eastAsia="Times New Roman" w:cs="Times New Roman"/>
                <w:iCs/>
                <w:color w:val="000000"/>
                <w:spacing w:val="-7"/>
                <w:sz w:val="24"/>
                <w:szCs w:val="24"/>
                <w:lang w:eastAsia="ru-RU"/>
              </w:rPr>
            </w:pPr>
            <w:r>
              <w:rPr>
                <w:rFonts w:eastAsia="Times New Roman" w:cs="Times New Roman" w:ascii="Times New Roman" w:hAnsi="Times New Roman"/>
                <w:iCs/>
                <w:color w:val="000000"/>
                <w:spacing w:val="-7"/>
                <w:sz w:val="24"/>
                <w:szCs w:val="24"/>
                <w:lang w:eastAsia="ru-RU"/>
              </w:rPr>
            </w:r>
          </w:p>
          <w:tbl>
            <w:tblPr>
              <w:tblW w:w="9088" w:type="dxa"/>
              <w:jc w:val="left"/>
              <w:tblInd w:w="29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108" w:type="dxa"/>
              </w:tblCellMar>
              <w:tblLook w:val="04a0" w:noVBand="1" w:noHBand="0" w:lastColumn="0" w:firstColumn="1" w:lastRow="0" w:firstRow="1"/>
            </w:tblPr>
            <w:tblGrid>
              <w:gridCol w:w="3138"/>
              <w:gridCol w:w="4943"/>
              <w:gridCol w:w="1007"/>
            </w:tblGrid>
            <w:tr>
              <w:trPr>
                <w:trHeight w:val="522" w:hRule="atLeast"/>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Вид документа</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Используемое приложение</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b/>
                      <w:b/>
                      <w:sz w:val="24"/>
                      <w:szCs w:val="24"/>
                    </w:rPr>
                  </w:pPr>
                  <w:r>
                    <w:rPr>
                      <w:rFonts w:eastAsia="Times New Roman" w:cs="Times New Roman" w:ascii="Times New Roman" w:hAnsi="Times New Roman"/>
                      <w:b/>
                      <w:sz w:val="24"/>
                      <w:szCs w:val="24"/>
                      <w:lang w:eastAsia="ru-RU"/>
                    </w:rPr>
                    <w:t>Формат</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Текстовая часть, описания</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Word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.doc</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Таблицы</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Excel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Базы данных</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Excel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Планы, графики</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Project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MS Excel</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.mpp</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.xls</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Чертежи</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AutoCAD</w:t>
                  </w:r>
                  <w:r>
                    <w:rPr>
                      <w:rFonts w:eastAsia="Times New Roman" w:cs="Times New Roman" w:ascii="Times New Roman" w:hAnsi="Times New Roman"/>
                      <w:sz w:val="24"/>
                      <w:szCs w:val="24"/>
                      <w:lang w:eastAsia="ru-RU"/>
                    </w:rPr>
                    <w:t xml:space="preserve">    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.dwg</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Графический материал</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 xml:space="preserve">MS Photo Editor    </w:t>
                  </w:r>
                  <w:r>
                    <w:rPr>
                      <w:rFonts w:eastAsia="Times New Roman" w:cs="Times New Roman" w:ascii="Times New Roman" w:hAnsi="Times New Roman"/>
                      <w:sz w:val="24"/>
                      <w:szCs w:val="24"/>
                      <w:lang w:eastAsia="ru-RU"/>
                    </w:rPr>
                    <w:t>и</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Adobe Acrobat</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.jpg</w:t>
                  </w:r>
                </w:p>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.pdf</w:t>
                  </w:r>
                </w:p>
              </w:tc>
            </w:tr>
            <w:tr>
              <w:trPr>
                <w:trHeight w:val="479" w:hRule="atLeast"/>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Электронный архив</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lang w:val="en-US"/>
                    </w:rPr>
                  </w:pPr>
                  <w:r>
                    <w:rPr>
                      <w:rFonts w:eastAsia="Times New Roman" w:cs="Times New Roman" w:ascii="Times New Roman" w:hAnsi="Times New Roman"/>
                      <w:sz w:val="24"/>
                      <w:szCs w:val="24"/>
                      <w:lang w:val="en-US" w:eastAsia="ru-RU"/>
                    </w:rPr>
                    <w:t>WinRar</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 xml:space="preserve">.rar </w:t>
                  </w:r>
                  <w:r>
                    <w:rPr>
                      <w:rFonts w:eastAsia="Times New Roman" w:cs="Times New Roman" w:ascii="Times New Roman" w:hAnsi="Times New Roman"/>
                      <w:sz w:val="24"/>
                      <w:szCs w:val="24"/>
                      <w:lang w:eastAsia="ru-RU"/>
                    </w:rPr>
                    <w:t>*</w:t>
                  </w:r>
                </w:p>
              </w:tc>
            </w:tr>
            <w:tr>
              <w:trPr/>
              <w:tc>
                <w:tcPr>
                  <w:tcW w:w="313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Сметная документация</w:t>
                  </w:r>
                </w:p>
              </w:tc>
              <w:tc>
                <w:tcPr>
                  <w:tcW w:w="494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val="en-US" w:eastAsia="ru-RU"/>
                    </w:rPr>
                    <w:t>MS</w: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val="en-US" w:eastAsia="ru-RU"/>
                    </w:rPr>
                    <w:t>Excel</w:t>
                  </w:r>
                  <w:r>
                    <w:rPr>
                      <w:rFonts w:eastAsia="Times New Roman" w:cs="Times New Roman" w:ascii="Times New Roman" w:hAnsi="Times New Roman"/>
                      <w:sz w:val="24"/>
                      <w:szCs w:val="24"/>
                      <w:lang w:eastAsia="ru-RU"/>
                    </w:rPr>
                    <w:t xml:space="preserve"> и в формате программы «ГРАНД СМЕТА», позволяющем вести накопительные ведомости по локальным сметам.</w:t>
                  </w:r>
                </w:p>
              </w:tc>
              <w:tc>
                <w:tcPr>
                  <w:tcW w:w="10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FFFFF" w:val="clear"/>
                  <w:tcMar>
                    <w:left w:w="-5" w:type="dxa"/>
                  </w:tcMar>
                </w:tcPr>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w:t>
                  </w:r>
                  <w:r>
                    <w:rPr>
                      <w:rFonts w:eastAsia="Times New Roman" w:cs="Times New Roman" w:ascii="Times New Roman" w:hAnsi="Times New Roman"/>
                      <w:sz w:val="24"/>
                      <w:szCs w:val="24"/>
                      <w:lang w:val="en-US" w:eastAsia="ru-RU"/>
                    </w:rPr>
                    <w:t>xls</w:t>
                  </w:r>
                </w:p>
                <w:p>
                  <w:pPr>
                    <w:pStyle w:val="Standard"/>
                    <w:widowControl w:val="false"/>
                    <w:suppressAutoHyphens w:val="false"/>
                    <w:spacing w:lineRule="auto" w:line="247" w:before="0" w:after="160"/>
                    <w:rPr>
                      <w:rFonts w:ascii="Times New Roman" w:hAnsi="Times New Roman"/>
                      <w:sz w:val="24"/>
                      <w:szCs w:val="24"/>
                    </w:rPr>
                  </w:pPr>
                  <w:r>
                    <w:rPr>
                      <w:rFonts w:eastAsia="Times New Roman" w:cs="Times New Roman" w:ascii="Times New Roman" w:hAnsi="Times New Roman"/>
                      <w:sz w:val="24"/>
                      <w:szCs w:val="24"/>
                      <w:lang w:eastAsia="ru-RU"/>
                    </w:rPr>
                    <w:t>.</w:t>
                  </w:r>
                  <w:r>
                    <w:rPr>
                      <w:rFonts w:eastAsia="Times New Roman" w:cs="Times New Roman" w:ascii="Times New Roman" w:hAnsi="Times New Roman"/>
                      <w:sz w:val="24"/>
                      <w:szCs w:val="24"/>
                      <w:lang w:val="en-US" w:eastAsia="ru-RU"/>
                    </w:rPr>
                    <w:t>gsf</w:t>
                  </w:r>
                </w:p>
              </w:tc>
            </w:tr>
          </w:tbl>
          <w:p>
            <w:pPr>
              <w:pStyle w:val="Standard"/>
              <w:jc w:val="both"/>
              <w:rPr>
                <w:rFonts w:ascii="Times New Roman" w:hAnsi="Times New Roman"/>
                <w:bCs/>
                <w:sz w:val="24"/>
                <w:szCs w:val="24"/>
              </w:rPr>
            </w:pPr>
            <w:r>
              <w:rPr>
                <w:rFonts w:eastAsia="Times New Roman" w:cs="Times New Roman" w:ascii="Times New Roman" w:hAnsi="Times New Roman"/>
                <w:bCs/>
                <w:iCs/>
                <w:color w:val="000000"/>
                <w:spacing w:val="-7"/>
                <w:sz w:val="24"/>
                <w:szCs w:val="24"/>
                <w:lang w:eastAsia="ru-RU"/>
              </w:rPr>
              <w:t xml:space="preserve"> </w:t>
            </w:r>
            <w:r>
              <w:rPr>
                <w:rFonts w:eastAsia="Times New Roman" w:cs="Times New Roman" w:ascii="Times New Roman" w:hAnsi="Times New Roman"/>
                <w:bCs/>
                <w:iCs/>
                <w:color w:val="000000"/>
                <w:spacing w:val="-7"/>
                <w:sz w:val="24"/>
                <w:szCs w:val="24"/>
                <w:lang w:eastAsia="ru-RU"/>
              </w:rPr>
              <w:t>*- материалы каждого тома проекта компоновать в одном файле</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553"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2.3.3.</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Требования к передаваемой документации при приемке СМР</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 xml:space="preserve">1. Акты выполненных работ КС-2 оформлять </w:t>
            </w:r>
            <w:r>
              <w:rPr>
                <w:rFonts w:ascii="Times New Roman" w:hAnsi="Times New Roman"/>
                <w:i/>
                <w:iCs/>
                <w:sz w:val="24"/>
                <w:szCs w:val="24"/>
                <w:lang w:eastAsia="ru-RU"/>
              </w:rPr>
              <w:t>по каждому объекту таблицы 1, с указанием наименования объекта в соответствии с таблицей 1.</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2.</w:t>
            </w:r>
            <w:r>
              <w:rPr>
                <w:rFonts w:ascii="Times New Roman" w:hAnsi="Times New Roman"/>
                <w:b/>
                <w:sz w:val="24"/>
                <w:szCs w:val="24"/>
                <w:lang w:eastAsia="ru-RU"/>
              </w:rPr>
              <w:t xml:space="preserve"> </w:t>
            </w:r>
            <w:r>
              <w:rPr>
                <w:rFonts w:ascii="Times New Roman" w:hAnsi="Times New Roman"/>
                <w:sz w:val="24"/>
                <w:szCs w:val="24"/>
                <w:lang w:eastAsia="ru-RU"/>
              </w:rPr>
              <w:t>Вместе с актами выполненных работ Заказчик передает исполнительную документацию в следующем кратком объеме:</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приемки законченного строительства;</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технической готовности электромонтажных работ;</w:t>
              <w:tab/>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освидетельствования скрытых работ по монтажу заземляющего устройства с исполнительной схемой;</w:t>
              <w:tab/>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освидетельствования скрытых работ на устройство основания под опоры;</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Акт замеров в натуре габаритов от проводов ВЛ до пересекаемого объекта (при наличии пересечений);</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Исполнительная схема ЛЭП;</w:t>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Паспорта и сертификаты на примененные материалы, изделия, оборудование;</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Справка об устранении выявленных замечаний (при наличии);</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 xml:space="preserve">Акт (справка) о выполнении технических условий на </w:t>
            </w:r>
            <w:r>
              <w:rPr>
                <w:rFonts w:ascii="Times New Roman" w:hAnsi="Times New Roman"/>
                <w:bCs/>
                <w:sz w:val="24"/>
                <w:szCs w:val="24"/>
                <w:lang w:eastAsia="ru-RU"/>
              </w:rPr>
              <w:t>пересечение, сближение и параллельное следование трассы ЛЭП с инженерными сетями, автодорогами и другими преградами сторонних организаций.</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Ордер на производство работ.</w:t>
              <w:tab/>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журнал учёта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pPr>
              <w:pStyle w:val="Standard"/>
              <w:widowControl w:val="false"/>
              <w:ind w:firstLine="54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lang w:eastAsia="ru-RU"/>
              </w:rPr>
              <w:tab/>
              <w:t>Формы журналов должны соответствовать типовым межотраслевым формам № КС-6 и № КС-6А, утверждённым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договору подряда.</w:t>
            </w:r>
          </w:p>
          <w:p>
            <w:pPr>
              <w:pStyle w:val="Standard"/>
              <w:widowControl w:val="false"/>
              <w:numPr>
                <w:ilvl w:val="0"/>
                <w:numId w:val="3"/>
              </w:numPr>
              <w:jc w:val="both"/>
              <w:rPr>
                <w:rFonts w:ascii="Times New Roman" w:hAnsi="Times New Roman"/>
                <w:sz w:val="24"/>
                <w:szCs w:val="24"/>
              </w:rPr>
            </w:pPr>
            <w:r>
              <w:rPr>
                <w:rFonts w:ascii="Times New Roman" w:hAnsi="Times New Roman"/>
                <w:sz w:val="24"/>
                <w:szCs w:val="24"/>
                <w:lang w:eastAsia="ru-RU"/>
              </w:rPr>
              <w:t>Р</w:t>
            </w:r>
            <w:r>
              <w:rPr>
                <w:rFonts w:eastAsia="Times New Roman" w:cs="Times New Roman" w:ascii="Times New Roman" w:hAnsi="Times New Roman"/>
                <w:sz w:val="24"/>
                <w:szCs w:val="24"/>
                <w:lang w:eastAsia="ru-RU"/>
              </w:rPr>
              <w:t>езультаты протоколов профиспытаний оборудования электротехнической лабораторией.</w:t>
            </w:r>
          </w:p>
          <w:p>
            <w:pPr>
              <w:pStyle w:val="Standard"/>
              <w:widowControl w:val="false"/>
              <w:numPr>
                <w:ilvl w:val="0"/>
                <w:numId w:val="3"/>
              </w:numPr>
              <w:jc w:val="both"/>
              <w:rPr>
                <w:rFonts w:ascii="Times New Roman" w:hAnsi="Times New Roman"/>
                <w:sz w:val="24"/>
                <w:szCs w:val="24"/>
              </w:rPr>
            </w:pPr>
            <w:r>
              <w:rPr>
                <w:rFonts w:eastAsia="Times New Roman" w:cs="Times New Roman" w:ascii="Times New Roman" w:hAnsi="Times New Roman"/>
                <w:bCs/>
                <w:sz w:val="24"/>
                <w:szCs w:val="24"/>
                <w:lang w:eastAsia="ru-RU"/>
              </w:rPr>
              <w:t>Заверенные копии сертификатов и технических паспортов на используемые материалы и оборудование.</w:t>
            </w:r>
          </w:p>
          <w:p>
            <w:pPr>
              <w:pStyle w:val="Standard"/>
              <w:shd w:val="clear" w:color="auto" w:fill="FFFFFF"/>
              <w:ind w:firstLine="540"/>
              <w:jc w:val="both"/>
              <w:rPr>
                <w:rFonts w:ascii="Times New Roman" w:hAnsi="Times New Roman"/>
                <w:spacing w:val="-1"/>
                <w:sz w:val="24"/>
                <w:szCs w:val="24"/>
              </w:rPr>
            </w:pPr>
            <w:r>
              <w:rPr>
                <w:rFonts w:ascii="Times New Roman" w:hAnsi="Times New Roman"/>
                <w:spacing w:val="-1"/>
                <w:sz w:val="24"/>
                <w:szCs w:val="24"/>
                <w:lang w:eastAsia="ru-RU"/>
              </w:rPr>
              <w:t>3. Исполнительная документация оформляется в 3 экземплярах:</w:t>
            </w:r>
          </w:p>
          <w:p>
            <w:pPr>
              <w:pStyle w:val="Standard"/>
              <w:shd w:val="clear" w:color="auto" w:fill="FFFFFF"/>
              <w:ind w:firstLine="540"/>
              <w:rPr>
                <w:rFonts w:ascii="Times New Roman" w:hAnsi="Times New Roman"/>
                <w:spacing w:val="-1"/>
                <w:sz w:val="24"/>
                <w:szCs w:val="24"/>
              </w:rPr>
            </w:pPr>
            <w:r>
              <w:rPr>
                <w:rFonts w:ascii="Times New Roman" w:hAnsi="Times New Roman"/>
                <w:spacing w:val="-1"/>
                <w:sz w:val="24"/>
                <w:szCs w:val="24"/>
                <w:lang w:eastAsia="ru-RU"/>
              </w:rPr>
              <w:t>- 1 экземпляр передается в РЭС;</w:t>
            </w:r>
          </w:p>
          <w:p>
            <w:pPr>
              <w:pStyle w:val="Standard"/>
              <w:shd w:val="clear" w:color="auto" w:fill="FFFFFF"/>
              <w:ind w:firstLine="540"/>
              <w:rPr>
                <w:rFonts w:ascii="Times New Roman" w:hAnsi="Times New Roman"/>
                <w:spacing w:val="-1"/>
                <w:sz w:val="24"/>
                <w:szCs w:val="24"/>
              </w:rPr>
            </w:pPr>
            <w:r>
              <w:rPr>
                <w:rFonts w:ascii="Times New Roman" w:hAnsi="Times New Roman"/>
                <w:spacing w:val="-1"/>
                <w:sz w:val="24"/>
                <w:szCs w:val="24"/>
                <w:lang w:eastAsia="ru-RU"/>
              </w:rPr>
              <w:t>- 1 экземпляр в соответствующее структурное подразделение филиала «Приморские электрические сети» по акту приемки-передачи;</w:t>
            </w:r>
          </w:p>
          <w:p>
            <w:pPr>
              <w:pStyle w:val="Standard"/>
              <w:shd w:val="clear" w:color="auto" w:fill="FFFFFF"/>
              <w:ind w:firstLine="567"/>
              <w:jc w:val="both"/>
              <w:rPr>
                <w:rFonts w:ascii="Times New Roman" w:hAnsi="Times New Roman"/>
                <w:bCs/>
                <w:iCs/>
                <w:color w:val="000000"/>
                <w:spacing w:val="-1"/>
                <w:sz w:val="24"/>
                <w:szCs w:val="24"/>
                <w:lang w:eastAsia="ru-RU"/>
              </w:rPr>
            </w:pPr>
            <w:r>
              <w:rPr>
                <w:rFonts w:ascii="Times New Roman" w:hAnsi="Times New Roman"/>
                <w:bCs/>
                <w:iCs/>
                <w:color w:val="000000"/>
                <w:spacing w:val="-1"/>
                <w:sz w:val="24"/>
                <w:szCs w:val="24"/>
                <w:lang w:eastAsia="ru-RU"/>
              </w:rPr>
              <w:t>- 1 экземпляр в отдел капитального строительства и инвестиций филиала АО «ДРСК» «ПЭС» с подтверждающим документом, отражающим факт приемки исполнительной документации СП и РЭС в бумажном виде и полный скан-комплект в электронном виде в формате pdf.</w:t>
            </w:r>
          </w:p>
          <w:p>
            <w:pPr>
              <w:pStyle w:val="Standard"/>
              <w:shd w:val="clear" w:color="auto" w:fill="FFFFFF"/>
              <w:ind w:firstLine="567"/>
              <w:jc w:val="both"/>
              <w:rPr>
                <w:rFonts w:ascii="Times New Roman" w:hAnsi="Times New Roman"/>
                <w:sz w:val="24"/>
                <w:szCs w:val="24"/>
              </w:rPr>
            </w:pPr>
            <w:r>
              <w:rPr>
                <w:rFonts w:ascii="Times New Roman" w:hAnsi="Times New Roman"/>
                <w:sz w:val="24"/>
                <w:szCs w:val="24"/>
              </w:rPr>
              <w:t>4. Подрядчик должен указывать заводские номера оборудования (КТПН, трансформаторы и т.п.) в актах выполненных работ КС-2 в разделе «Материалы заказчика».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ind w:left="123" w:hanging="0"/>
              <w:jc w:val="center"/>
              <w:rPr>
                <w:b/>
                <w:b/>
                <w:bCs/>
                <w:sz w:val="24"/>
                <w:szCs w:val="24"/>
              </w:rPr>
            </w:pPr>
            <w:r>
              <w:rPr>
                <w:rFonts w:eastAsia="Times New Roman" w:cs="Times New Roman" w:ascii="Times New Roman" w:hAnsi="Times New Roman"/>
                <w:b/>
                <w:bCs/>
                <w:sz w:val="24"/>
                <w:szCs w:val="24"/>
                <w:lang w:eastAsia="ru-RU"/>
              </w:rPr>
              <w:t>3.</w:t>
            </w:r>
          </w:p>
        </w:tc>
        <w:tc>
          <w:tcPr>
            <w:tcW w:w="1208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vAlign w:val="cente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ответственности и гарантиям подрядчика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rFonts w:ascii="Times New Roman" w:hAnsi="Times New Roman" w:eastAsia="Times New Roman" w:cs="Times New Roman"/>
                <w:b/>
                <w:b/>
                <w:bCs/>
                <w:sz w:val="20"/>
                <w:szCs w:val="20"/>
                <w:lang w:eastAsia="ru-RU"/>
              </w:rPr>
            </w:pPr>
            <w:r>
              <w:rPr>
                <w:rFonts w:eastAsia="Times New Roman" w:cs="Times New Roman" w:ascii="Times New Roman" w:hAnsi="Times New Roman"/>
                <w:b/>
                <w:bCs/>
                <w:sz w:val="20"/>
                <w:szCs w:val="20"/>
                <w:lang w:eastAsia="ru-RU"/>
              </w:rPr>
            </w:r>
          </w:p>
        </w:tc>
      </w:tr>
      <w:tr>
        <w:trPr>
          <w:trHeight w:val="439"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3.1.1.</w:t>
            </w:r>
          </w:p>
        </w:tc>
        <w:tc>
          <w:tcPr>
            <w:tcW w:w="2490"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widowControl w:val="false"/>
              <w:tabs>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bCs/>
                <w:i/>
                <w:sz w:val="24"/>
                <w:szCs w:val="24"/>
                <w:lang w:eastAsia="ru-RU"/>
              </w:rPr>
              <w:t>Требования к гарантиям подрядчика</w:t>
            </w:r>
          </w:p>
        </w:tc>
        <w:tc>
          <w:tcPr>
            <w:tcW w:w="95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widowControl w:val="false"/>
              <w:tabs>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sz w:val="24"/>
                <w:szCs w:val="24"/>
                <w:lang w:eastAsia="ru-RU"/>
              </w:rPr>
              <w:t>Требования к гарантиям определены проектом договора подряда.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bCs/>
                <w:sz w:val="24"/>
                <w:szCs w:val="24"/>
              </w:rPr>
            </w:pPr>
            <w:r>
              <w:rPr>
                <w:rFonts w:eastAsia="Times New Roman" w:cs="Times New Roman" w:ascii="Times New Roman" w:hAnsi="Times New Roman"/>
                <w:b/>
                <w:sz w:val="24"/>
                <w:szCs w:val="24"/>
                <w:lang w:eastAsia="ru-RU"/>
              </w:rPr>
              <w:t>-//-</w:t>
            </w:r>
          </w:p>
        </w:tc>
      </w:tr>
      <w:tr>
        <w:trPr>
          <w:trHeight w:val="439"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3.1.2.</w:t>
            </w:r>
          </w:p>
        </w:tc>
        <w:tc>
          <w:tcPr>
            <w:tcW w:w="2490"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widowControl w:val="false"/>
              <w:tabs>
                <w:tab w:val="left" w:pos="0" w:leader="none"/>
                <w:tab w:val="left" w:pos="993" w:leader="none"/>
                <w:tab w:val="left" w:pos="1418" w:leader="none"/>
              </w:tabs>
              <w:spacing w:lineRule="auto" w:line="240" w:before="0" w:after="0"/>
              <w:contextualSpacing/>
              <w:jc w:val="both"/>
              <w:rPr>
                <w:sz w:val="24"/>
                <w:szCs w:val="24"/>
              </w:rPr>
            </w:pPr>
            <w:r>
              <w:rPr>
                <w:rFonts w:eastAsia="Times New Roman" w:cs="Times New Roman" w:ascii="Times New Roman" w:hAnsi="Times New Roman"/>
                <w:bCs/>
                <w:i/>
                <w:sz w:val="24"/>
                <w:szCs w:val="24"/>
                <w:lang w:eastAsia="ru-RU"/>
              </w:rPr>
              <w:t xml:space="preserve">Требования к </w:t>
            </w:r>
            <w:r>
              <w:rPr>
                <w:rFonts w:eastAsia="Times New Roman" w:cs="Times New Roman" w:ascii="Times New Roman" w:hAnsi="Times New Roman"/>
                <w:lang w:eastAsia="ru-RU"/>
              </w:rPr>
              <w:t xml:space="preserve"> </w:t>
            </w:r>
            <w:r>
              <w:rPr>
                <w:rFonts w:eastAsia="Times New Roman" w:cs="Times New Roman" w:ascii="Times New Roman" w:hAnsi="Times New Roman"/>
                <w:bCs/>
                <w:i/>
                <w:sz w:val="24"/>
                <w:szCs w:val="24"/>
                <w:lang w:eastAsia="ru-RU"/>
              </w:rPr>
              <w:t>ответственности подрядчика</w:t>
            </w:r>
          </w:p>
        </w:tc>
        <w:tc>
          <w:tcPr>
            <w:tcW w:w="95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Standard"/>
              <w:widowControl w:val="false"/>
              <w:tabs>
                <w:tab w:val="left" w:pos="0" w:leader="none"/>
                <w:tab w:val="left" w:pos="993" w:leader="none"/>
                <w:tab w:val="left" w:pos="1418" w:leader="none"/>
              </w:tabs>
              <w:spacing w:before="0" w:after="60"/>
              <w:jc w:val="both"/>
              <w:rPr>
                <w:rFonts w:ascii="Times New Roman" w:hAnsi="Times New Roman"/>
                <w:sz w:val="24"/>
                <w:szCs w:val="24"/>
              </w:rPr>
            </w:pPr>
            <w:r>
              <w:rPr>
                <w:rFonts w:eastAsia="Times New Roman" w:ascii="Times New Roman" w:hAnsi="Times New Roman"/>
                <w:sz w:val="24"/>
                <w:szCs w:val="24"/>
                <w:lang w:eastAsia="ru-RU"/>
              </w:rPr>
              <w:t>При выполнении работ подрядчик принимает и несет ответственность за выполнение следующих обязательств</w:t>
            </w:r>
            <w:r>
              <w:rPr>
                <w:rFonts w:eastAsia="Times New Roman" w:ascii="Times New Roman" w:hAnsi="Times New Roman"/>
                <w:spacing w:val="-1"/>
                <w:sz w:val="24"/>
                <w:szCs w:val="24"/>
                <w:lang w:eastAsia="ru-RU"/>
              </w:rPr>
              <w:t>:</w:t>
            </w:r>
          </w:p>
          <w:p>
            <w:pPr>
              <w:pStyle w:val="Standard"/>
              <w:shd w:val="clear" w:color="auto" w:fill="FFFFFF"/>
              <w:ind w:firstLine="227"/>
              <w:jc w:val="both"/>
              <w:rPr>
                <w:rFonts w:ascii="Times New Roman" w:hAnsi="Times New Roman"/>
                <w:spacing w:val="-1"/>
                <w:sz w:val="24"/>
                <w:szCs w:val="24"/>
              </w:rPr>
            </w:pPr>
            <w:r>
              <w:rPr>
                <w:rFonts w:eastAsia="Times New Roman" w:ascii="Times New Roman" w:hAnsi="Times New Roman"/>
                <w:spacing w:val="-1"/>
                <w:sz w:val="24"/>
                <w:szCs w:val="24"/>
                <w:lang w:eastAsia="ru-RU"/>
              </w:rPr>
              <w:t>1. Использовать полученные от Заказчика исходные данные, а также другую документацию и информацию только для достижения целей, предусмотренных договорами, заключенными по итогам закрытых запросов цен, не разглашать и не передавать их третьим лицам без письменного согласия Заказчика;</w:t>
            </w:r>
          </w:p>
          <w:p>
            <w:pPr>
              <w:pStyle w:val="Standard"/>
              <w:shd w:val="clear" w:color="auto" w:fill="FFFFFF"/>
              <w:ind w:firstLine="227"/>
              <w:jc w:val="both"/>
              <w:rPr>
                <w:rFonts w:ascii="Times New Roman" w:hAnsi="Times New Roman"/>
                <w:spacing w:val="-1"/>
                <w:sz w:val="24"/>
                <w:szCs w:val="24"/>
              </w:rPr>
            </w:pPr>
            <w:r>
              <w:rPr>
                <w:rFonts w:eastAsia="Times New Roman" w:ascii="Times New Roman" w:hAnsi="Times New Roman"/>
                <w:spacing w:val="-1"/>
                <w:sz w:val="24"/>
                <w:szCs w:val="24"/>
                <w:lang w:eastAsia="ru-RU"/>
              </w:rPr>
              <w:t>2. Безвозмездно откорректировать документацию по замечаниям Заказчика и предоставить корректировку в течение 3 (трех) рабочих дней;</w:t>
            </w:r>
          </w:p>
          <w:p>
            <w:pPr>
              <w:pStyle w:val="Standard"/>
              <w:shd w:val="clear" w:color="auto" w:fill="FFFFFF"/>
              <w:ind w:firstLine="227"/>
              <w:jc w:val="both"/>
              <w:rPr>
                <w:rFonts w:ascii="Times New Roman" w:hAnsi="Times New Roman"/>
                <w:spacing w:val="-1"/>
                <w:sz w:val="24"/>
                <w:szCs w:val="24"/>
              </w:rPr>
            </w:pPr>
            <w:r>
              <w:rPr>
                <w:rFonts w:eastAsia="Times New Roman" w:ascii="Times New Roman" w:hAnsi="Times New Roman"/>
                <w:spacing w:val="-1"/>
                <w:sz w:val="24"/>
                <w:szCs w:val="24"/>
                <w:lang w:eastAsia="ru-RU"/>
              </w:rPr>
              <w:t>3. При обнаружении недостатков в документации по требованию Заказчика безвозмездно доработать техническую документацию в течение 5 (пяти) рабочих дней и возместить убытки, связанные с допущенными недостатками;</w:t>
            </w:r>
          </w:p>
          <w:p>
            <w:pPr>
              <w:pStyle w:val="Standard"/>
              <w:widowControl w:val="false"/>
              <w:tabs>
                <w:tab w:val="left" w:pos="1300" w:leader="none"/>
              </w:tabs>
              <w:ind w:firstLine="227"/>
              <w:jc w:val="both"/>
              <w:rPr>
                <w:rFonts w:ascii="Times New Roman" w:hAnsi="Times New Roman"/>
                <w:sz w:val="24"/>
                <w:szCs w:val="24"/>
              </w:rPr>
            </w:pPr>
            <w:r>
              <w:rPr>
                <w:rFonts w:eastAsia="Times New Roman" w:ascii="Times New Roman" w:hAnsi="Times New Roman"/>
                <w:sz w:val="24"/>
                <w:szCs w:val="24"/>
                <w:lang w:eastAsia="ru-RU"/>
              </w:rPr>
              <w:t>4. В случае выявления, на этапе выполнения строительно-монтажных и пуско-наладочных работ, ошибок проектирования подрядная организация обеспечивает безвозмездную корректировку проектных решений с устранением несоответствий. Доработка проектных решений не должна приводить к переносу срока ввода объекта;</w:t>
            </w:r>
          </w:p>
          <w:p>
            <w:pPr>
              <w:pStyle w:val="Standard"/>
              <w:widowControl w:val="false"/>
              <w:tabs>
                <w:tab w:val="left" w:pos="812" w:leader="none"/>
              </w:tabs>
              <w:ind w:firstLine="227"/>
              <w:jc w:val="both"/>
              <w:rPr>
                <w:rFonts w:ascii="Times New Roman" w:hAnsi="Times New Roman"/>
                <w:sz w:val="24"/>
                <w:szCs w:val="24"/>
              </w:rPr>
            </w:pPr>
            <w:r>
              <w:rPr>
                <w:rFonts w:eastAsia="Times New Roman" w:ascii="Times New Roman" w:hAnsi="Times New Roman"/>
                <w:sz w:val="24"/>
                <w:szCs w:val="24"/>
                <w:lang w:eastAsia="ru-RU"/>
              </w:rPr>
              <w:t>5. При выполнении рабочей документации необходимо применять оборудование и материалы, соответствующие Российским стандартам, сертифицированные в установленном порядке;</w:t>
            </w:r>
          </w:p>
          <w:p>
            <w:pPr>
              <w:pStyle w:val="Standard"/>
              <w:widowControl w:val="false"/>
              <w:tabs>
                <w:tab w:val="left" w:pos="812" w:leader="none"/>
              </w:tabs>
              <w:ind w:firstLine="227"/>
              <w:jc w:val="both"/>
              <w:rPr>
                <w:rFonts w:ascii="Times New Roman" w:hAnsi="Times New Roman"/>
                <w:sz w:val="24"/>
                <w:szCs w:val="24"/>
              </w:rPr>
            </w:pPr>
            <w:r>
              <w:rPr>
                <w:rFonts w:eastAsia="Times New Roman" w:ascii="Times New Roman" w:hAnsi="Times New Roman"/>
                <w:sz w:val="24"/>
                <w:szCs w:val="24"/>
                <w:lang w:eastAsia="ru-RU"/>
              </w:rPr>
              <w:t>6. Любые отклонения от выбранного коридора проектируемого участка выноски ЛЭП должны иметь технико-экономические обоснования;</w:t>
            </w:r>
          </w:p>
          <w:p>
            <w:pPr>
              <w:pStyle w:val="Normal"/>
              <w:widowControl w:val="false"/>
              <w:tabs>
                <w:tab w:val="left" w:pos="0" w:leader="none"/>
                <w:tab w:val="left" w:pos="993" w:leader="none"/>
                <w:tab w:val="left" w:pos="1418" w:leader="none"/>
              </w:tabs>
              <w:spacing w:before="0" w:after="200"/>
              <w:ind w:firstLine="173"/>
              <w:contextualSpacing/>
              <w:jc w:val="both"/>
              <w:rPr>
                <w:rFonts w:ascii="Times New Roman" w:hAnsi="Times New Roman" w:cs="Times New Roman"/>
                <w:sz w:val="24"/>
                <w:szCs w:val="24"/>
              </w:rPr>
            </w:pPr>
            <w:r>
              <w:rPr>
                <w:rFonts w:eastAsia="Times New Roman" w:cs="Times New Roman" w:ascii="Times New Roman" w:hAnsi="Times New Roman"/>
                <w:i/>
                <w:iCs/>
                <w:sz w:val="24"/>
                <w:szCs w:val="24"/>
                <w:lang w:eastAsia="ru-RU"/>
              </w:rPr>
              <w:t>7. Разработанная рабочая документация является собственностью Заказчика и передача её третьим лицам без его согласия запрещается;</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4.</w:t>
            </w:r>
          </w:p>
        </w:tc>
        <w:tc>
          <w:tcPr>
            <w:tcW w:w="15450"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Требования к подрядчику (и субподрядчикам) и его обязательствам, влияющим на исполнение договора</w:t>
            </w:r>
          </w:p>
        </w:tc>
      </w:tr>
      <w:tr>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4.1.1.</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 xml:space="preserve">Требования к объему и виду работ, которые могут быть выполнены в рамках договоров субподряда  </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ListParagraph"/>
              <w:numPr>
                <w:ilvl w:val="0"/>
                <w:numId w:val="4"/>
              </w:numPr>
              <w:tabs>
                <w:tab w:val="left" w:pos="457" w:leader="none"/>
              </w:tabs>
              <w:spacing w:before="0" w:after="60"/>
              <w:ind w:left="0" w:firstLine="315"/>
              <w:jc w:val="both"/>
              <w:textAlignment w:val="baseline"/>
              <w:rPr>
                <w:highlight w:val="yellow"/>
              </w:rPr>
            </w:pPr>
            <w:r>
              <w:rPr>
                <w:bCs/>
                <w:sz w:val="24"/>
                <w:szCs w:val="24"/>
              </w:rPr>
              <w:t>Порядок согласования субподрядных организаций определен разделом 3, п.3.4.3 проекта договора подряда.</w:t>
            </w:r>
          </w:p>
          <w:p>
            <w:pPr>
              <w:pStyle w:val="Normal"/>
              <w:tabs>
                <w:tab w:val="left" w:pos="598" w:leader="none"/>
              </w:tabs>
              <w:spacing w:before="0" w:after="0"/>
              <w:ind w:firstLine="345"/>
              <w:jc w:val="both"/>
              <w:rPr>
                <w:rFonts w:ascii="Times New Roman" w:hAnsi="Times New Roman" w:cs="Times New Roman"/>
                <w:bCs/>
                <w:sz w:val="24"/>
                <w:szCs w:val="24"/>
              </w:rPr>
            </w:pPr>
            <w:r>
              <w:rPr>
                <w:rFonts w:cs="Times New Roman" w:ascii="Times New Roman" w:hAnsi="Times New Roman"/>
                <w:bCs/>
                <w:sz w:val="24"/>
                <w:szCs w:val="24"/>
              </w:rPr>
              <w:t>Подрядчик несет при этом ответственность за действия Субподрядчиков, как за свои собственные.</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63"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eastAsia="ru-RU"/>
              </w:rPr>
              <w:t>5.</w:t>
            </w:r>
          </w:p>
        </w:tc>
        <w:tc>
          <w:tcPr>
            <w:tcW w:w="15450" w:type="dxa"/>
            <w:gridSpan w:val="6"/>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both"/>
              <w:rPr>
                <w:b/>
                <w:b/>
                <w:bCs/>
                <w:sz w:val="24"/>
                <w:szCs w:val="24"/>
              </w:rPr>
            </w:pPr>
            <w:r>
              <w:rPr>
                <w:rFonts w:eastAsia="Times New Roman" w:cs="Times New Roman" w:ascii="Times New Roman" w:hAnsi="Times New Roman"/>
                <w:b/>
                <w:bCs/>
                <w:sz w:val="24"/>
                <w:szCs w:val="24"/>
                <w:lang w:eastAsia="ru-RU"/>
              </w:rPr>
              <w:t>Прочие требования к выполняемым работам</w:t>
            </w:r>
          </w:p>
        </w:tc>
      </w:tr>
      <w:tr>
        <w:trPr>
          <w:trHeight w:val="41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rPr>
            </w:pPr>
            <w:r>
              <w:rPr>
                <w:rFonts w:eastAsia="Times New Roman" w:cs="Times New Roman" w:ascii="Times New Roman" w:hAnsi="Times New Roman"/>
                <w:b/>
                <w:bCs/>
                <w:sz w:val="24"/>
                <w:szCs w:val="24"/>
                <w:lang w:val="en-US" w:eastAsia="ru-RU"/>
              </w:rPr>
              <w:t>5.1</w:t>
            </w:r>
            <w:r>
              <w:rPr>
                <w:rFonts w:eastAsia="Times New Roman" w:cs="Times New Roman" w:ascii="Times New Roman" w:hAnsi="Times New Roman"/>
                <w:b/>
                <w:bCs/>
                <w:sz w:val="24"/>
                <w:szCs w:val="24"/>
                <w:lang w:eastAsia="ru-RU"/>
              </w:rPr>
              <w:t>.</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bCs/>
                <w:i/>
                <w:sz w:val="24"/>
                <w:szCs w:val="24"/>
                <w:lang w:eastAsia="ru-RU"/>
              </w:rPr>
              <w:t>Особые условия</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1. При проектировании трассы прохождения ЛЭП не допускать размещение коридора трассы по территориям объектов культурного наследия;</w:t>
            </w:r>
          </w:p>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2.</w:t>
              <w:tab/>
              <w:t>Подрядчику запросить у краевых органов охраны объектов культурного наследия информацию об объектах культурного наследия, включенных в единый государственный реестр объектов культурного наследия, выявленных объектов культурного наследия, а также о границах территорий, в отношении которых у органов имеются основания предполагать наличие на данных территориях объектов археологического наследия либо объектов, обладающих признаками объекта археологического наследия. При проектировании трассы прохождения ЛЭП не допускать размещение коридора трассы по территориям объектов культурного наследия.</w:t>
            </w:r>
          </w:p>
          <w:p>
            <w:pPr>
              <w:pStyle w:val="Standard"/>
              <w:tabs>
                <w:tab w:val="left" w:pos="993" w:leader="none"/>
              </w:tabs>
              <w:ind w:right="-16" w:firstLine="567"/>
              <w:jc w:val="both"/>
              <w:rPr>
                <w:rFonts w:ascii="Times New Roman" w:hAnsi="Times New Roman"/>
                <w:sz w:val="24"/>
                <w:szCs w:val="24"/>
              </w:rPr>
            </w:pPr>
            <w:r>
              <w:rPr>
                <w:rFonts w:ascii="Times New Roman" w:hAnsi="Times New Roman"/>
                <w:sz w:val="24"/>
                <w:szCs w:val="24"/>
              </w:rPr>
              <w:t>3. Выбор коридора под размещение ЛЭП производить на неразграниченных земельных участках либо на земельных участках, находящихся в государственной или муниципальной собственности и свободных от прав третьих лиц.</w:t>
            </w:r>
          </w:p>
          <w:p>
            <w:pPr>
              <w:pStyle w:val="ListParagraph"/>
              <w:tabs>
                <w:tab w:val="left" w:pos="598" w:leader="none"/>
                <w:tab w:val="left" w:pos="993" w:leader="none"/>
              </w:tabs>
              <w:ind w:left="0" w:firstLine="567"/>
              <w:jc w:val="both"/>
              <w:rPr>
                <w:sz w:val="24"/>
                <w:szCs w:val="24"/>
                <w:lang w:eastAsia="en-US"/>
              </w:rPr>
            </w:pPr>
            <w:r>
              <w:rPr>
                <w:sz w:val="24"/>
                <w:szCs w:val="24"/>
                <w:lang w:eastAsia="en-US"/>
              </w:rPr>
              <w:t>4. Схемы границ предполагаемых к использованию земель или части земельного участка и перечень координат характерных точек этих границ в системе координат, установленной для ведения Единого государственного реестра недвижимости подготавливаются отдельно по разным электросетевым объектам.</w:t>
            </w:r>
          </w:p>
          <w:p>
            <w:pPr>
              <w:pStyle w:val="ListParagraph"/>
              <w:tabs>
                <w:tab w:val="left" w:pos="628" w:leader="none"/>
              </w:tabs>
              <w:ind w:left="0" w:firstLine="487"/>
              <w:jc w:val="both"/>
              <w:rPr>
                <w:bCs/>
                <w:i/>
                <w:i/>
                <w:sz w:val="24"/>
                <w:szCs w:val="24"/>
              </w:rPr>
            </w:pPr>
            <w:r>
              <w:rPr>
                <w:bCs/>
                <w:i/>
                <w:sz w:val="24"/>
                <w:szCs w:val="24"/>
              </w:rPr>
              <w:t>5. Подрядчик самостоятельно получает от лица Заказчика все необходимые согласования для возможности производства работ, все затраты на получение необходимых согласований и компенсационных выплат входят в общую стоимость объекта ТП;</w:t>
            </w:r>
          </w:p>
          <w:p>
            <w:pPr>
              <w:pStyle w:val="ListParagraph"/>
              <w:tabs>
                <w:tab w:val="left" w:pos="628" w:leader="none"/>
              </w:tabs>
              <w:ind w:left="0" w:firstLine="487"/>
              <w:jc w:val="both"/>
              <w:rPr>
                <w:bCs/>
                <w:i/>
                <w:i/>
                <w:sz w:val="24"/>
                <w:szCs w:val="24"/>
                <w:lang w:eastAsia="ru-RU"/>
              </w:rPr>
            </w:pPr>
            <w:r>
              <w:rPr>
                <w:bCs/>
                <w:i/>
                <w:sz w:val="24"/>
                <w:szCs w:val="24"/>
                <w:lang w:eastAsia="ru-RU"/>
              </w:rPr>
              <w:t>6. При проектировании</w:t>
            </w:r>
            <w:r>
              <w:rPr>
                <w:bCs/>
                <w:i/>
                <w:sz w:val="24"/>
                <w:szCs w:val="24"/>
                <w:lang w:val="ru-RU" w:eastAsia="ru-RU"/>
              </w:rPr>
              <w:t xml:space="preserve"> необходимо</w:t>
            </w:r>
            <w:r>
              <w:rPr>
                <w:bCs/>
                <w:i/>
                <w:sz w:val="24"/>
                <w:szCs w:val="24"/>
                <w:lang w:eastAsia="ru-RU"/>
              </w:rPr>
              <w:t xml:space="preserve"> учитывать имеющееся оборудование у Заказчика. </w:t>
            </w:r>
            <w:r>
              <w:rPr>
                <w:bCs/>
                <w:i/>
                <w:sz w:val="24"/>
                <w:szCs w:val="24"/>
                <w:lang w:val="ru-RU" w:eastAsia="ru-RU"/>
              </w:rPr>
              <w:t>Состав</w:t>
            </w:r>
            <w:r>
              <w:rPr>
                <w:bCs/>
                <w:i/>
                <w:sz w:val="24"/>
                <w:szCs w:val="24"/>
                <w:lang w:eastAsia="ru-RU"/>
              </w:rPr>
              <w:t xml:space="preserve"> и характеристики этого оборудования можно получить, направив письменный Запрос заказчику после заключения договора подряда.</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b/>
                <w:sz w:val="24"/>
                <w:szCs w:val="24"/>
                <w:lang w:eastAsia="ru-RU"/>
              </w:rPr>
              <w:t>-//-</w:t>
            </w:r>
          </w:p>
        </w:tc>
      </w:tr>
      <w:tr>
        <w:trPr>
          <w:trHeight w:val="412" w:hRule="atLeast"/>
        </w:trPr>
        <w:tc>
          <w:tcPr>
            <w:tcW w:w="563"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tcPr>
          <w:p>
            <w:pPr>
              <w:pStyle w:val="Normal"/>
              <w:spacing w:lineRule="auto" w:line="240" w:before="0" w:after="0"/>
              <w:jc w:val="center"/>
              <w:rPr>
                <w:b/>
                <w:b/>
                <w:bCs/>
                <w:sz w:val="24"/>
                <w:szCs w:val="24"/>
                <w:lang w:val="en-US"/>
              </w:rPr>
            </w:pPr>
            <w:r>
              <w:rPr>
                <w:rFonts w:eastAsia="Times New Roman" w:cs="Times New Roman" w:ascii="Times New Roman" w:hAnsi="Times New Roman"/>
                <w:b/>
                <w:bCs/>
                <w:sz w:val="24"/>
                <w:szCs w:val="24"/>
                <w:lang w:val="en-US" w:eastAsia="ru-RU"/>
              </w:rPr>
              <w:t>5.</w:t>
            </w:r>
            <w:r>
              <w:rPr>
                <w:rFonts w:eastAsia="Times New Roman" w:cs="Times New Roman" w:ascii="Times New Roman" w:hAnsi="Times New Roman"/>
                <w:b/>
                <w:bCs/>
                <w:sz w:val="24"/>
                <w:szCs w:val="24"/>
                <w:lang w:eastAsia="ru-RU"/>
              </w:rPr>
              <w:t>2.</w:t>
            </w:r>
          </w:p>
        </w:tc>
        <w:tc>
          <w:tcPr>
            <w:tcW w:w="246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Cs/>
                <w:i/>
                <w:i/>
                <w:sz w:val="24"/>
                <w:szCs w:val="24"/>
              </w:rPr>
            </w:pPr>
            <w:r>
              <w:rPr>
                <w:rFonts w:eastAsia="Times New Roman" w:cs="Times New Roman" w:ascii="Times New Roman" w:hAnsi="Times New Roman"/>
                <w:i/>
                <w:iCs/>
                <w:sz w:val="24"/>
                <w:szCs w:val="24"/>
                <w:lang w:eastAsia="ru-RU"/>
              </w:rPr>
              <w:t>Другие требования</w:t>
            </w:r>
          </w:p>
        </w:tc>
        <w:tc>
          <w:tcPr>
            <w:tcW w:w="9626"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Standard"/>
              <w:shd w:val="clear" w:color="auto" w:fill="FFFFFF"/>
              <w:ind w:firstLine="540"/>
              <w:jc w:val="both"/>
              <w:rPr>
                <w:rFonts w:ascii="Times New Roman" w:hAnsi="Times New Roman"/>
                <w:sz w:val="24"/>
                <w:szCs w:val="24"/>
              </w:rPr>
            </w:pPr>
            <w:r>
              <w:rPr>
                <w:rFonts w:ascii="Times New Roman" w:hAnsi="Times New Roman"/>
                <w:sz w:val="24"/>
                <w:szCs w:val="24"/>
              </w:rPr>
              <w:t>1. Заказчик может дать письменное распоряжение, обязательное для Подрядчика, с указанием:</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увеличить или сократить объем любой работы, включенной в Договор;</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исключить любую работу;</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изменить характер или качество, или вид любой части работы;</w:t>
            </w:r>
          </w:p>
          <w:p>
            <w:pPr>
              <w:pStyle w:val="Standard"/>
              <w:shd w:val="clear" w:color="auto" w:fill="FFFFFF"/>
              <w:ind w:firstLine="113"/>
              <w:jc w:val="both"/>
              <w:rPr>
                <w:rFonts w:ascii="Times New Roman" w:hAnsi="Times New Roman"/>
                <w:sz w:val="24"/>
                <w:szCs w:val="24"/>
              </w:rPr>
            </w:pPr>
            <w:r>
              <w:rPr>
                <w:rFonts w:ascii="Times New Roman" w:hAnsi="Times New Roman"/>
                <w:sz w:val="24"/>
                <w:szCs w:val="24"/>
              </w:rPr>
              <w:t>- выполнить дополнительную работу любого характера, необходимую для завершения строительства объекта;</w:t>
            </w:r>
          </w:p>
          <w:p>
            <w:pPr>
              <w:pStyle w:val="Standard"/>
              <w:shd w:val="clear" w:color="auto" w:fill="FFFFFF"/>
              <w:ind w:firstLine="540"/>
              <w:jc w:val="both"/>
              <w:rPr>
                <w:rFonts w:ascii="Times New Roman" w:hAnsi="Times New Roman"/>
                <w:sz w:val="24"/>
                <w:szCs w:val="24"/>
              </w:rPr>
            </w:pPr>
            <w:r>
              <w:rPr>
                <w:rFonts w:ascii="Times New Roman" w:hAnsi="Times New Roman"/>
                <w:sz w:val="24"/>
                <w:szCs w:val="24"/>
              </w:rPr>
              <w:t>2.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pPr>
              <w:pStyle w:val="ListParagraph"/>
              <w:tabs>
                <w:tab w:val="left" w:pos="598" w:leader="none"/>
              </w:tabs>
              <w:ind w:left="0" w:firstLine="487"/>
              <w:jc w:val="both"/>
              <w:rPr>
                <w:bCs/>
                <w:i/>
                <w:i/>
                <w:sz w:val="24"/>
                <w:szCs w:val="24"/>
                <w:lang w:eastAsia="ru-RU"/>
              </w:rPr>
            </w:pPr>
            <w:r>
              <w:rPr>
                <w:bCs/>
                <w:i/>
                <w:sz w:val="24"/>
                <w:szCs w:val="24"/>
                <w:lang w:eastAsia="ru-RU"/>
              </w:rPr>
              <w:t>3. Подрядчик до начала производства работ (оказания услуг)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w:t>
            </w:r>
          </w:p>
        </w:tc>
        <w:tc>
          <w:tcPr>
            <w:tcW w:w="152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i/>
                <w:i/>
                <w:iCs/>
                <w:sz w:val="24"/>
                <w:szCs w:val="24"/>
              </w:rPr>
            </w:pPr>
            <w:r>
              <w:rPr>
                <w:rFonts w:eastAsia="Times New Roman" w:cs="Times New Roman" w:ascii="Times New Roman" w:hAnsi="Times New Roman"/>
                <w:i/>
                <w:iCs/>
                <w:sz w:val="24"/>
                <w:szCs w:val="24"/>
                <w:lang w:eastAsia="ru-RU"/>
              </w:rPr>
              <w:t>Согласие с требованием</w:t>
            </w:r>
          </w:p>
        </w:tc>
        <w:tc>
          <w:tcPr>
            <w:tcW w:w="183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right w:w="108" w:type="dxa"/>
            </w:tcMar>
          </w:tcPr>
          <w:p>
            <w:pPr>
              <w:pStyle w:val="Normal"/>
              <w:spacing w:lineRule="auto" w:line="240" w:before="0" w:after="0"/>
              <w:jc w:val="center"/>
              <w:rPr>
                <w:b/>
                <w:b/>
                <w:sz w:val="24"/>
                <w:szCs w:val="24"/>
              </w:rPr>
            </w:pPr>
            <w:r>
              <w:rPr>
                <w:rFonts w:eastAsia="Times New Roman" w:cs="Times New Roman" w:ascii="Times New Roman" w:hAnsi="Times New Roman"/>
                <w:sz w:val="24"/>
                <w:szCs w:val="24"/>
                <w:lang w:eastAsia="ru-RU"/>
              </w:rPr>
              <w:t>-//-</w:t>
            </w:r>
          </w:p>
        </w:tc>
      </w:tr>
    </w:tbl>
    <w:p>
      <w:pPr>
        <w:sectPr>
          <w:footerReference w:type="default" r:id="rId3"/>
          <w:type w:val="nextPage"/>
          <w:pgSz w:orient="landscape" w:w="16838" w:h="11906"/>
          <w:pgMar w:left="426" w:right="678" w:header="0" w:top="284" w:footer="708" w:bottom="1276" w:gutter="0"/>
          <w:pgNumType w:fmt="decimal"/>
          <w:formProt w:val="false"/>
          <w:textDirection w:val="lrTb"/>
          <w:docGrid w:type="default" w:linePitch="360" w:charSpace="4294965247"/>
        </w:sectPr>
        <w:pStyle w:val="Normal"/>
        <w:spacing w:lineRule="auto" w:line="240" w:before="0" w:after="120"/>
        <w:jc w:val="both"/>
        <w:rPr>
          <w:rFonts w:ascii="Times New Roman" w:hAnsi="Times New Roman" w:eastAsia="Times New Roman" w:cs="Times New Roman"/>
          <w:b/>
          <w:b/>
          <w:bCs/>
          <w:sz w:val="24"/>
          <w:szCs w:val="24"/>
          <w:lang w:eastAsia="ru-RU"/>
        </w:rPr>
      </w:pPr>
      <w:r>
        <w:rPr>
          <w:rFonts w:eastAsia="Times New Roman" w:cs="Times New Roman" w:ascii="Times New Roman" w:hAnsi="Times New Roman"/>
          <w:b/>
          <w:bCs/>
          <w:sz w:val="24"/>
          <w:szCs w:val="24"/>
          <w:lang w:eastAsia="ru-RU"/>
        </w:rPr>
        <w:br/>
      </w:r>
    </w:p>
    <w:p>
      <w:pPr>
        <w:pStyle w:val="ListParagraph"/>
        <w:numPr>
          <w:ilvl w:val="0"/>
          <w:numId w:val="2"/>
        </w:numPr>
        <w:jc w:val="center"/>
        <w:rPr>
          <w:b/>
          <w:b/>
          <w:sz w:val="28"/>
          <w:szCs w:val="28"/>
        </w:rPr>
      </w:pPr>
      <w:r>
        <w:rPr>
          <w:b/>
          <w:sz w:val="28"/>
          <w:szCs w:val="28"/>
        </w:rPr>
        <w:t>Требования к документации по ценообразованию на этапе закупки</w:t>
      </w:r>
    </w:p>
    <w:p>
      <w:pPr>
        <w:pStyle w:val="ListParagraph"/>
        <w:ind w:left="1211" w:hanging="0"/>
        <w:rPr>
          <w:b/>
          <w:b/>
          <w:sz w:val="28"/>
          <w:szCs w:val="28"/>
        </w:rPr>
      </w:pPr>
      <w:bookmarkStart w:id="15" w:name="_Toc53393312"/>
      <w:bookmarkStart w:id="16" w:name="_Toc54646411"/>
      <w:bookmarkStart w:id="17" w:name="_Toc53393312"/>
      <w:bookmarkStart w:id="18" w:name="_Toc54646411"/>
      <w:bookmarkEnd w:id="17"/>
      <w:bookmarkEnd w:id="18"/>
      <w:r>
        <w:rPr>
          <w:b/>
          <w:sz w:val="28"/>
          <w:szCs w:val="28"/>
        </w:rPr>
      </w:r>
    </w:p>
    <w:p>
      <w:pPr>
        <w:pStyle w:val="ListParagraph"/>
        <w:ind w:left="0" w:firstLine="708"/>
        <w:jc w:val="both"/>
        <w:rPr>
          <w:sz w:val="24"/>
          <w:szCs w:val="24"/>
          <w:lang w:eastAsia="ru-RU"/>
        </w:rPr>
      </w:pPr>
      <w:r>
        <w:rPr>
          <w:sz w:val="24"/>
          <w:szCs w:val="24"/>
          <w:lang w:eastAsia="ru-RU"/>
        </w:rPr>
        <w:t>3.</w:t>
      </w:r>
      <w:r>
        <w:rPr>
          <w:sz w:val="24"/>
          <w:szCs w:val="24"/>
          <w:lang w:val="ru-RU" w:eastAsia="ru-RU"/>
        </w:rPr>
        <w:t>1</w:t>
      </w:r>
      <w:r>
        <w:rPr>
          <w:sz w:val="24"/>
          <w:szCs w:val="24"/>
          <w:lang w:eastAsia="ru-RU"/>
        </w:rPr>
        <w:t xml:space="preserve"> В обоснование стоимости своей заявки Участник предоставляет Коммерческое предложение по форме (с учетом прилагаемой к ней инструкции по заполнению), приведенной в Документации о закупке </w:t>
      </w:r>
      <w:r>
        <w:rPr>
          <w:i/>
          <w:sz w:val="24"/>
          <w:szCs w:val="24"/>
          <w:lang w:eastAsia="ru-RU"/>
        </w:rPr>
        <w:t>с указанием понижающего коэффициента</w:t>
      </w:r>
      <w:r>
        <w:rPr>
          <w:sz w:val="24"/>
          <w:szCs w:val="24"/>
          <w:lang w:eastAsia="ru-RU"/>
        </w:rPr>
        <w:t>. (величину данного коэффициента рекомендуется учитывать с округлением до 7 знаков после запятой).</w:t>
      </w:r>
    </w:p>
    <w:p>
      <w:pPr>
        <w:pStyle w:val="ListParagraph"/>
        <w:ind w:left="0" w:firstLine="708"/>
        <w:jc w:val="both"/>
        <w:rPr>
          <w:sz w:val="24"/>
          <w:szCs w:val="24"/>
          <w:lang w:eastAsia="ru-RU"/>
        </w:rPr>
      </w:pPr>
      <w:r>
        <w:rPr>
          <w:sz w:val="24"/>
          <w:szCs w:val="24"/>
          <w:lang w:eastAsia="ru-RU"/>
        </w:rPr>
        <w:t>3.</w:t>
      </w:r>
      <w:r>
        <w:rPr>
          <w:sz w:val="24"/>
          <w:szCs w:val="24"/>
          <w:lang w:val="ru-RU" w:eastAsia="ru-RU"/>
        </w:rPr>
        <w:t>2</w:t>
      </w:r>
      <w:r>
        <w:rPr>
          <w:sz w:val="24"/>
          <w:szCs w:val="24"/>
          <w:lang w:eastAsia="ru-RU"/>
        </w:rPr>
        <w:t xml:space="preserve"> Дополнительные документы по ценообразованию (сметная документация) в состав заявки Участника не включаются.</w:t>
      </w:r>
    </w:p>
    <w:p>
      <w:pPr>
        <w:pStyle w:val="ListParagraph"/>
        <w:ind w:left="1211" w:hanging="0"/>
        <w:rPr>
          <w:b/>
          <w:b/>
          <w:sz w:val="28"/>
          <w:szCs w:val="28"/>
        </w:rPr>
      </w:pPr>
      <w:r>
        <w:rPr>
          <w:b/>
          <w:sz w:val="28"/>
          <w:szCs w:val="28"/>
        </w:rPr>
      </w:r>
    </w:p>
    <w:p>
      <w:pPr>
        <w:pStyle w:val="ListParagraph"/>
        <w:numPr>
          <w:ilvl w:val="0"/>
          <w:numId w:val="2"/>
        </w:numPr>
        <w:jc w:val="center"/>
        <w:rPr>
          <w:b/>
          <w:b/>
          <w:sz w:val="28"/>
          <w:szCs w:val="28"/>
          <w:lang w:val="ru-RU"/>
        </w:rPr>
      </w:pPr>
      <w:bookmarkStart w:id="19" w:name="_Toc54646412"/>
      <w:bookmarkEnd w:id="19"/>
      <w:r>
        <w:rPr>
          <w:b/>
          <w:sz w:val="28"/>
          <w:szCs w:val="28"/>
          <w:lang w:val="ru-RU"/>
        </w:rPr>
        <w:t>Требования к документации по ценообразованию на этапе заключения (исполнения) договора</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 Требования к составлению сметной документации (при заключении договора):</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4.1.1 Сметная документация (</w:t>
      </w:r>
      <w:r>
        <w:rPr>
          <w:i/>
          <w:sz w:val="24"/>
          <w:szCs w:val="24"/>
          <w:lang w:eastAsia="ru-RU"/>
        </w:rPr>
        <w:t>Сводный сметный расчет</w:t>
      </w:r>
      <w:r>
        <w:rPr>
          <w:rFonts w:eastAsia="" w:eastAsiaTheme="majorEastAsia"/>
          <w:bCs/>
          <w:color w:val="000000" w:themeColor="text1"/>
          <w:sz w:val="24"/>
          <w:szCs w:val="24"/>
        </w:rPr>
        <w:t>)</w:t>
      </w:r>
      <w:r>
        <w:rPr>
          <w:rFonts w:eastAsia="" w:eastAsiaTheme="majorEastAsia"/>
          <w:bCs/>
          <w:color w:val="000000" w:themeColor="text1"/>
          <w:sz w:val="24"/>
          <w:szCs w:val="24"/>
          <w:lang w:val="ru-RU"/>
        </w:rPr>
        <w:t xml:space="preserve"> (Приложение № 3)</w:t>
      </w:r>
      <w:r>
        <w:rPr>
          <w:rFonts w:eastAsia="" w:eastAsiaTheme="majorEastAsia"/>
          <w:bCs/>
          <w:color w:val="000000" w:themeColor="text1"/>
          <w:sz w:val="24"/>
          <w:szCs w:val="24"/>
        </w:rPr>
        <w:t xml:space="preserve"> разработана заказчиком в рамках определения начальной (максимальной) цены договора в соответствии с требованиями, указанными в приложении № 2 к настоящим Техническим требованиям, и включается в состав договора </w:t>
      </w:r>
      <w:r>
        <w:rPr>
          <w:rFonts w:eastAsia="" w:eastAsiaTheme="majorEastAsia"/>
          <w:bCs/>
          <w:i/>
          <w:color w:val="000000" w:themeColor="text1"/>
          <w:sz w:val="24"/>
          <w:szCs w:val="24"/>
        </w:rPr>
        <w:t>с применением понижающего коэффициента</w:t>
      </w:r>
      <w:r>
        <w:rPr>
          <w:rFonts w:eastAsia="" w:eastAsiaTheme="majorEastAsia"/>
          <w:bCs/>
          <w:color w:val="000000" w:themeColor="text1"/>
          <w:sz w:val="24"/>
          <w:szCs w:val="24"/>
        </w:rPr>
        <w:t xml:space="preserve">, указанного в заявке Участника, с которым принято решение заключить договор. </w:t>
      </w:r>
      <w:r>
        <w:rPr>
          <w:rFonts w:eastAsia="" w:eastAsiaTheme="majorEastAsia"/>
          <w:bCs/>
          <w:i/>
          <w:color w:val="000000" w:themeColor="text1"/>
          <w:sz w:val="24"/>
          <w:szCs w:val="24"/>
        </w:rPr>
        <w:t>Понижающий коэффициент</w:t>
      </w:r>
      <w:r>
        <w:rPr>
          <w:rFonts w:eastAsia="" w:eastAsiaTheme="majorEastAsia"/>
          <w:bCs/>
          <w:color w:val="000000" w:themeColor="text1"/>
          <w:sz w:val="24"/>
          <w:szCs w:val="24"/>
        </w:rPr>
        <w:t xml:space="preserve"> начисляется в локальных сметах единым индексом в итогах (после начисления лимитированных затрат в случае составления одной сметы).</w:t>
      </w:r>
    </w:p>
    <w:p>
      <w:pPr>
        <w:pStyle w:val="ListParagraph"/>
        <w:ind w:left="0" w:firstLine="709"/>
        <w:jc w:val="both"/>
        <w:rPr>
          <w:rFonts w:eastAsia="" w:eastAsiaTheme="majorEastAsia"/>
          <w:bCs/>
          <w:color w:val="000000" w:themeColor="text1"/>
          <w:sz w:val="24"/>
          <w:szCs w:val="24"/>
        </w:rPr>
      </w:pPr>
      <w:r>
        <w:rPr>
          <w:rFonts w:eastAsia="" w:eastAsiaTheme="majorEastAsia"/>
          <w:bCs/>
          <w:color w:val="000000" w:themeColor="text1"/>
          <w:sz w:val="24"/>
          <w:szCs w:val="24"/>
        </w:rPr>
        <w:t>4.1.2 Внесение изменений в сметную документацию заказчика, кроме применения понижающего коэффициента в соответствии с п.4.1.1, не допускается.</w:t>
      </w:r>
    </w:p>
    <w:p>
      <w:pPr>
        <w:pStyle w:val="ListParagraph"/>
        <w:ind w:left="643" w:hanging="0"/>
        <w:jc w:val="center"/>
        <w:rPr>
          <w:rFonts w:eastAsia="Calibri" w:eastAsiaTheme="minorHAnsi"/>
          <w:b/>
          <w:b/>
          <w:sz w:val="28"/>
          <w:szCs w:val="28"/>
          <w:lang w:eastAsia="en-US"/>
        </w:rPr>
      </w:pPr>
      <w:r>
        <w:rPr>
          <w:rFonts w:eastAsia="Calibri" w:eastAsiaTheme="minorHAnsi"/>
          <w:b/>
          <w:sz w:val="28"/>
          <w:szCs w:val="28"/>
          <w:lang w:eastAsia="en-US"/>
        </w:rPr>
      </w:r>
    </w:p>
    <w:p>
      <w:pPr>
        <w:pStyle w:val="ListParagraph"/>
        <w:ind w:left="643" w:hanging="0"/>
        <w:jc w:val="center"/>
        <w:rPr>
          <w:rFonts w:eastAsia="Calibri" w:eastAsiaTheme="minorHAnsi"/>
          <w:b/>
          <w:b/>
          <w:sz w:val="28"/>
          <w:szCs w:val="28"/>
          <w:lang w:val="ru-RU" w:eastAsia="en-US"/>
        </w:rPr>
      </w:pPr>
      <w:r>
        <w:rPr>
          <w:rFonts w:eastAsia="Calibri" w:eastAsiaTheme="minorHAnsi"/>
          <w:b/>
          <w:sz w:val="28"/>
          <w:szCs w:val="28"/>
          <w:lang w:val="ru-RU" w:eastAsia="en-US"/>
        </w:rPr>
        <w:t>5. Приложения</w:t>
      </w:r>
    </w:p>
    <w:p>
      <w:pPr>
        <w:pStyle w:val="ListParagraph"/>
        <w:ind w:left="643" w:hanging="0"/>
        <w:rPr>
          <w:rFonts w:eastAsia="Calibri" w:eastAsiaTheme="minorHAnsi"/>
          <w:b/>
          <w:b/>
          <w:sz w:val="24"/>
          <w:szCs w:val="24"/>
          <w:lang w:val="ru-RU" w:eastAsia="en-US"/>
        </w:rPr>
      </w:pPr>
      <w:r>
        <w:rPr>
          <w:rFonts w:eastAsia="Calibri" w:eastAsiaTheme="minorHAnsi"/>
          <w:b/>
          <w:sz w:val="24"/>
          <w:szCs w:val="24"/>
          <w:lang w:val="ru-RU" w:eastAsia="en-US"/>
        </w:rPr>
      </w:r>
    </w:p>
    <w:p>
      <w:pPr>
        <w:pStyle w:val="Normal"/>
        <w:tabs>
          <w:tab w:val="left" w:pos="567" w:leader="none"/>
        </w:tabs>
        <w:spacing w:lineRule="auto" w:line="240" w:before="0" w:after="0"/>
        <w:jc w:val="both"/>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Приложение № 1: Технические условия с приложением актов обследования;</w:t>
      </w:r>
    </w:p>
    <w:p>
      <w:pPr>
        <w:pStyle w:val="Normal"/>
        <w:tabs>
          <w:tab w:val="left" w:pos="567" w:leader="none"/>
        </w:tabs>
        <w:spacing w:lineRule="auto" w:line="240" w:before="0" w:after="0"/>
        <w:jc w:val="both"/>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 xml:space="preserve">Приложение № 2: Требования к оформлению и составлению документации по </w:t>
      </w:r>
    </w:p>
    <w:p>
      <w:pPr>
        <w:pStyle w:val="Normal"/>
        <w:tabs>
          <w:tab w:val="left" w:pos="567" w:leader="none"/>
        </w:tabs>
        <w:spacing w:lineRule="auto" w:line="240" w:before="0" w:after="0"/>
        <w:jc w:val="both"/>
        <w:rPr>
          <w:rFonts w:ascii="Times New Roman" w:hAnsi="Times New Roman" w:eastAsia="Times New Roman" w:cs="Times New Roman"/>
          <w:i/>
          <w:i/>
          <w:sz w:val="24"/>
          <w:szCs w:val="24"/>
          <w:lang w:eastAsia="ru-RU"/>
        </w:rPr>
      </w:pPr>
      <w:r>
        <w:rPr>
          <w:rFonts w:eastAsia="Times New Roman" w:cs="Times New Roman" w:ascii="Times New Roman" w:hAnsi="Times New Roman"/>
          <w:i/>
          <w:sz w:val="24"/>
          <w:szCs w:val="24"/>
          <w:lang w:eastAsia="ru-RU"/>
        </w:rPr>
        <w:t>ценообразованию (сметной документации);</w:t>
      </w:r>
    </w:p>
    <w:p>
      <w:pPr>
        <w:pStyle w:val="Normal"/>
        <w:tabs>
          <w:tab w:val="left" w:pos="567" w:leader="none"/>
        </w:tabs>
        <w:spacing w:lineRule="auto" w:line="240" w:before="0" w:after="0"/>
        <w:jc w:val="both"/>
        <w:rPr>
          <w:color w:val="111111"/>
        </w:rPr>
      </w:pPr>
      <w:r>
        <w:rPr>
          <w:rFonts w:eastAsia="Times New Roman" w:cs="Times New Roman" w:ascii="Times New Roman" w:hAnsi="Times New Roman"/>
          <w:i/>
          <w:color w:val="111111"/>
          <w:sz w:val="24"/>
          <w:szCs w:val="24"/>
          <w:lang w:eastAsia="ru-RU"/>
        </w:rPr>
        <w:t xml:space="preserve">Приложение № 3: </w:t>
      </w:r>
      <w:r>
        <w:rPr>
          <w:rFonts w:eastAsia="Times New Roman" w:cs="Times New Roman" w:ascii="Times New Roman" w:hAnsi="Times New Roman"/>
          <w:i/>
          <w:sz w:val="24"/>
          <w:szCs w:val="24"/>
          <w:lang w:eastAsia="ru-RU"/>
        </w:rPr>
        <w:t>Сводный сметный расчет</w:t>
      </w:r>
      <w:r>
        <w:rPr>
          <w:rFonts w:eastAsia="Times New Roman" w:cs="Times New Roman" w:ascii="Times New Roman" w:hAnsi="Times New Roman"/>
          <w:i/>
          <w:color w:val="111111"/>
          <w:sz w:val="24"/>
          <w:szCs w:val="24"/>
          <w:lang w:eastAsia="ru-RU"/>
        </w:rPr>
        <w:t>;</w:t>
      </w:r>
    </w:p>
    <w:p>
      <w:pPr>
        <w:pStyle w:val="Normal"/>
        <w:tabs>
          <w:tab w:val="left" w:pos="567" w:leader="none"/>
        </w:tabs>
        <w:spacing w:lineRule="auto" w:line="240" w:before="0" w:after="0"/>
        <w:jc w:val="both"/>
        <w:rPr>
          <w:color w:val="111111"/>
        </w:rPr>
      </w:pPr>
      <w:r>
        <w:rPr>
          <w:rFonts w:eastAsia="Times New Roman" w:cs="Times New Roman" w:ascii="Times New Roman" w:hAnsi="Times New Roman"/>
          <w:i/>
          <w:color w:val="111111"/>
          <w:sz w:val="24"/>
          <w:szCs w:val="24"/>
          <w:lang w:eastAsia="ru-RU"/>
        </w:rPr>
        <w:t>Приложение № 4: Экспликация земельных участков;</w:t>
      </w:r>
    </w:p>
    <w:p>
      <w:pPr>
        <w:pStyle w:val="Normal"/>
        <w:tabs>
          <w:tab w:val="left" w:pos="567" w:leader="none"/>
        </w:tabs>
        <w:spacing w:lineRule="auto" w:line="240" w:before="0" w:after="0"/>
        <w:jc w:val="both"/>
        <w:rPr>
          <w:rFonts w:ascii="Times New Roman" w:hAnsi="Times New Roman" w:eastAsia="Times New Roman" w:cs="Times New Roman"/>
          <w:i/>
          <w:i/>
          <w:color w:val="111111"/>
          <w:sz w:val="24"/>
          <w:szCs w:val="24"/>
          <w:lang w:eastAsia="ru-RU"/>
        </w:rPr>
      </w:pPr>
      <w:r>
        <w:rPr>
          <w:rFonts w:eastAsia="Times New Roman" w:cs="Times New Roman" w:ascii="Times New Roman" w:hAnsi="Times New Roman"/>
          <w:i/>
          <w:color w:val="111111"/>
          <w:sz w:val="24"/>
          <w:szCs w:val="24"/>
          <w:lang w:eastAsia="ru-RU"/>
        </w:rPr>
        <w:t>Приложение № 5: Ведомость рубки лесных насаждений;</w:t>
      </w:r>
    </w:p>
    <w:p>
      <w:pPr>
        <w:pStyle w:val="Normal"/>
        <w:tabs>
          <w:tab w:val="left" w:pos="567" w:leader="none"/>
        </w:tabs>
        <w:spacing w:lineRule="auto" w:line="240" w:before="0" w:after="0"/>
        <w:jc w:val="both"/>
        <w:rPr>
          <w:rFonts w:ascii="Times New Roman" w:hAnsi="Times New Roman" w:eastAsia="Times New Roman" w:cs="Times New Roman"/>
          <w:i/>
          <w:i/>
          <w:color w:val="111111"/>
          <w:sz w:val="24"/>
          <w:szCs w:val="24"/>
          <w:lang w:eastAsia="ru-RU"/>
        </w:rPr>
      </w:pPr>
      <w:r>
        <w:rPr>
          <w:rFonts w:eastAsia="Times New Roman" w:cs="Times New Roman" w:ascii="Times New Roman" w:hAnsi="Times New Roman"/>
          <w:i/>
          <w:color w:val="111111"/>
          <w:sz w:val="24"/>
          <w:szCs w:val="24"/>
          <w:lang w:eastAsia="ru-RU"/>
        </w:rPr>
        <w:t>Приложение № 6: Перечень правообладателей земельных участков, подлежащих рекультивации;</w:t>
      </w:r>
    </w:p>
    <w:p>
      <w:pPr>
        <w:pStyle w:val="Normal"/>
        <w:tabs>
          <w:tab w:val="left" w:pos="567" w:leader="none"/>
        </w:tabs>
        <w:spacing w:lineRule="auto" w:line="240" w:before="0" w:after="0"/>
        <w:jc w:val="both"/>
        <w:rPr/>
      </w:pPr>
      <w:r>
        <w:rPr/>
      </w:r>
    </w:p>
    <w:sectPr>
      <w:footerReference w:type="default" r:id="rId4"/>
      <w:type w:val="nextPage"/>
      <w:pgSz w:w="11906" w:h="16838"/>
      <w:pgMar w:left="851" w:right="850" w:header="0" w:top="568" w:footer="708" w:bottom="765"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Segoe UI">
    <w:charset w:val="01"/>
    <w:family w:val="roman"/>
    <w:pitch w:val="variable"/>
  </w:font>
  <w:font w:name="Liberation Sans">
    <w:altName w:val="Arial"/>
    <w:charset w:val="01"/>
    <w:family w:val="roman"/>
    <w:pitch w:val="variable"/>
  </w:font>
  <w:font w:name="Symbol">
    <w:charset w:val="02"/>
    <w:family w:val="auto"/>
    <w:pitch w:val="default"/>
  </w:font>
  <w:font w:name="Courier New">
    <w:charset w:val="01"/>
    <w:family w:val="auto"/>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r>
      <w:rPr/>
    </w:r>
  </w:p>
  <w:p>
    <w:pPr>
      <w:pStyle w:val="Style33"/>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r>
      <w:rPr/>
    </w:r>
  </w:p>
  <w:p>
    <w:pPr>
      <w:pStyle w:val="Style33"/>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3"/>
      <w:jc w:val="right"/>
      <w:rPr/>
    </w:pPr>
    <w:r>
      <w:rPr/>
    </w:r>
  </w:p>
  <w:p>
    <w:pPr>
      <w:pStyle w:val="Style33"/>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3"/>
      <w:numFmt w:val="decimal"/>
      <w:lvlText w:val="%1."/>
      <w:lvlJc w:val="left"/>
      <w:pPr>
        <w:ind w:left="1211" w:hanging="360"/>
      </w:pPr>
      <w:rPr>
        <w:sz w:val="28"/>
        <w:b/>
      </w:rPr>
    </w:lvl>
    <w:lvl w:ilvl="1">
      <w:start w:val="3"/>
      <w:numFmt w:val="decimal"/>
      <w:lvlText w:val="4.%2"/>
      <w:lvlJc w:val="left"/>
      <w:pPr>
        <w:ind w:left="1571" w:hanging="720"/>
      </w:pPr>
      <w:rPr>
        <w:b/>
      </w:rPr>
    </w:lvl>
    <w:lvl w:ilvl="2">
      <w:start w:val="1"/>
      <w:numFmt w:val="decimal"/>
      <w:lvlText w:val="%1.%2.%3."/>
      <w:lvlJc w:val="left"/>
      <w:pPr>
        <w:ind w:left="2422" w:hanging="720"/>
      </w:pPr>
      <w:rPr>
        <w:b/>
      </w:rPr>
    </w:lvl>
    <w:lvl w:ilvl="3">
      <w:start w:val="1"/>
      <w:numFmt w:val="decimal"/>
      <w:lvlText w:val="%1.%2.%3.%4."/>
      <w:lvlJc w:val="left"/>
      <w:pPr>
        <w:ind w:left="3633" w:hanging="1080"/>
      </w:pPr>
      <w:rPr>
        <w:b w:val="false"/>
      </w:rPr>
    </w:lvl>
    <w:lvl w:ilvl="4">
      <w:start w:val="1"/>
      <w:numFmt w:val="decimal"/>
      <w:lvlText w:val="%1.%2.%3.%4.%5."/>
      <w:lvlJc w:val="left"/>
      <w:pPr>
        <w:ind w:left="4484" w:hanging="1080"/>
      </w:pPr>
      <w:rPr>
        <w:b w:val="false"/>
      </w:rPr>
    </w:lvl>
    <w:lvl w:ilvl="5">
      <w:start w:val="1"/>
      <w:numFmt w:val="decimal"/>
      <w:lvlText w:val="%1.%2.%3.%4.%5.%6."/>
      <w:lvlJc w:val="left"/>
      <w:pPr>
        <w:ind w:left="5695" w:hanging="1440"/>
      </w:pPr>
      <w:rPr>
        <w:b w:val="false"/>
      </w:rPr>
    </w:lvl>
    <w:lvl w:ilvl="6">
      <w:start w:val="1"/>
      <w:numFmt w:val="decimal"/>
      <w:lvlText w:val="%1.%2.%3.%4.%5.%6.%7."/>
      <w:lvlJc w:val="left"/>
      <w:pPr>
        <w:ind w:left="6546" w:hanging="1440"/>
      </w:pPr>
      <w:rPr>
        <w:b w:val="false"/>
      </w:rPr>
    </w:lvl>
    <w:lvl w:ilvl="7">
      <w:start w:val="1"/>
      <w:numFmt w:val="decimal"/>
      <w:lvlText w:val="%1.%2.%3.%4.%5.%6.%7.%8."/>
      <w:lvlJc w:val="left"/>
      <w:pPr>
        <w:ind w:left="7757" w:hanging="1800"/>
      </w:pPr>
      <w:rPr>
        <w:b w:val="false"/>
      </w:rPr>
    </w:lvl>
    <w:lvl w:ilvl="8">
      <w:start w:val="1"/>
      <w:numFmt w:val="decimal"/>
      <w:lvlText w:val="%1.%2.%3.%4.%5.%6.%7.%8.%9."/>
      <w:lvlJc w:val="left"/>
      <w:pPr>
        <w:ind w:left="8608" w:hanging="1800"/>
      </w:pPr>
      <w:rPr>
        <w:b w:val="false"/>
      </w:rPr>
    </w:lvl>
  </w:abstractNum>
  <w:abstractNum w:abstractNumId="3">
    <w:lvl w:ilvl="0">
      <w:start w:val="1"/>
      <w:numFmt w:val="bullet"/>
      <w:lvlText w:val=""/>
      <w:lvlJc w:val="left"/>
      <w:pPr>
        <w:ind w:left="720" w:hanging="360"/>
      </w:pPr>
      <w:rPr>
        <w:rFonts w:ascii="Symbol" w:hAnsi="Symbol" w:cs="Symbol" w:hint="default"/>
        <w:sz w:val="24"/>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4">
    <w:lvl w:ilvl="0">
      <w:start w:val="1"/>
      <w:numFmt w:val="none"/>
      <w:suff w:val="nothing"/>
      <w:lvlText w:val=""/>
      <w:lvlJc w:val="left"/>
      <w:pPr>
        <w:ind w:left="72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5">
    <w:lvl w:ilvl="0">
      <w:start w:val="1"/>
      <w:numFmt w:val="bullet"/>
      <w:lvlText w:val=""/>
      <w:lvlJc w:val="left"/>
      <w:pPr>
        <w:ind w:left="1080" w:hanging="360"/>
      </w:pPr>
      <w:rPr>
        <w:rFonts w:ascii="Symbol" w:hAnsi="Symbol" w:cs="Symbol" w:hint="default"/>
        <w:sz w:val="24"/>
        <w:rFonts w:cs="Symbol"/>
      </w:rPr>
    </w:lvl>
    <w:lvl w:ilvl="1">
      <w:start w:val="1"/>
      <w:numFmt w:val="bullet"/>
      <w:lvlText w:val="o"/>
      <w:lvlJc w:val="left"/>
      <w:pPr>
        <w:ind w:left="1800" w:hanging="360"/>
      </w:pPr>
      <w:rPr>
        <w:rFonts w:ascii="Courier New" w:hAnsi="Courier New" w:cs="Courier New" w:hint="default"/>
        <w:rFonts w:cs="Courier New"/>
      </w:rPr>
    </w:lvl>
    <w:lvl w:ilvl="2">
      <w:start w:val="1"/>
      <w:numFmt w:val="bullet"/>
      <w:lvlText w:val=""/>
      <w:lvlJc w:val="left"/>
      <w:pPr>
        <w:ind w:left="2520" w:hanging="360"/>
      </w:pPr>
      <w:rPr>
        <w:rFonts w:ascii="Wingdings" w:hAnsi="Wingdings" w:cs="Wingdings" w:hint="default"/>
        <w:rFonts w:cs="Wingdings"/>
      </w:rPr>
    </w:lvl>
    <w:lvl w:ilvl="3">
      <w:start w:val="1"/>
      <w:numFmt w:val="bullet"/>
      <w:lvlText w:val=""/>
      <w:lvlJc w:val="left"/>
      <w:pPr>
        <w:ind w:left="3240" w:hanging="360"/>
      </w:pPr>
      <w:rPr>
        <w:rFonts w:ascii="Symbol" w:hAnsi="Symbol" w:cs="Symbol" w:hint="default"/>
        <w:rFonts w:cs="Symbol"/>
      </w:rPr>
    </w:lvl>
    <w:lvl w:ilvl="4">
      <w:start w:val="1"/>
      <w:numFmt w:val="bullet"/>
      <w:lvlText w:val="o"/>
      <w:lvlJc w:val="left"/>
      <w:pPr>
        <w:ind w:left="3960" w:hanging="360"/>
      </w:pPr>
      <w:rPr>
        <w:rFonts w:ascii="Courier New" w:hAnsi="Courier New" w:cs="Courier New" w:hint="default"/>
        <w:rFonts w:cs="Courier New"/>
      </w:rPr>
    </w:lvl>
    <w:lvl w:ilvl="5">
      <w:start w:val="1"/>
      <w:numFmt w:val="bullet"/>
      <w:lvlText w:val=""/>
      <w:lvlJc w:val="left"/>
      <w:pPr>
        <w:ind w:left="4680" w:hanging="360"/>
      </w:pPr>
      <w:rPr>
        <w:rFonts w:ascii="Wingdings" w:hAnsi="Wingdings" w:cs="Wingdings" w:hint="default"/>
        <w:rFonts w:cs="Wingdings"/>
      </w:rPr>
    </w:lvl>
    <w:lvl w:ilvl="6">
      <w:start w:val="1"/>
      <w:numFmt w:val="bullet"/>
      <w:lvlText w:val=""/>
      <w:lvlJc w:val="left"/>
      <w:pPr>
        <w:ind w:left="5400" w:hanging="360"/>
      </w:pPr>
      <w:rPr>
        <w:rFonts w:ascii="Symbol" w:hAnsi="Symbol" w:cs="Symbol" w:hint="default"/>
        <w:rFonts w:cs="Symbol"/>
      </w:rPr>
    </w:lvl>
    <w:lvl w:ilvl="7">
      <w:start w:val="1"/>
      <w:numFmt w:val="bullet"/>
      <w:lvlText w:val="o"/>
      <w:lvlJc w:val="left"/>
      <w:pPr>
        <w:ind w:left="6120" w:hanging="360"/>
      </w:pPr>
      <w:rPr>
        <w:rFonts w:ascii="Courier New" w:hAnsi="Courier New" w:cs="Courier New" w:hint="default"/>
        <w:rFonts w:cs="Courier New"/>
      </w:rPr>
    </w:lvl>
    <w:lvl w:ilvl="8">
      <w:start w:val="1"/>
      <w:numFmt w:val="bullet"/>
      <w:lvlText w:val=""/>
      <w:lvlJc w:val="left"/>
      <w:pPr>
        <w:ind w:left="6840" w:hanging="360"/>
      </w:pPr>
      <w:rPr>
        <w:rFonts w:ascii="Wingdings" w:hAnsi="Wingdings" w:cs="Wingdings" w:hint="default"/>
        <w:rFonts w:cs="Wingdings"/>
      </w:rPr>
    </w:lvl>
  </w:abstractNum>
  <w:abstractNum w:abstractNumId="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b647c"/>
    <w:pPr>
      <w:widowControl/>
      <w:bidi w:val="0"/>
      <w:spacing w:lineRule="auto" w:line="276" w:before="0" w:after="200"/>
      <w:jc w:val="left"/>
    </w:pPr>
    <w:rPr>
      <w:rFonts w:ascii="Calibri" w:hAnsi="Calibri" w:eastAsia="Calibri" w:cs=""/>
      <w:color w:val="00000A"/>
      <w:sz w:val="22"/>
      <w:szCs w:val="22"/>
      <w:lang w:val="ru-RU" w:eastAsia="en-US" w:bidi="ar-SA"/>
    </w:rPr>
  </w:style>
  <w:style w:type="paragraph" w:styleId="1">
    <w:name w:val="Heading 1"/>
    <w:basedOn w:val="Normal"/>
    <w:link w:val="10"/>
    <w:qFormat/>
    <w:rsid w:val="00842f5e"/>
    <w:pPr>
      <w:keepNext w:val="true"/>
      <w:spacing w:lineRule="auto" w:line="240" w:before="0" w:after="0"/>
      <w:jc w:val="center"/>
      <w:outlineLvl w:val="0"/>
    </w:pPr>
    <w:rPr>
      <w:rFonts w:ascii="Times New Roman" w:hAnsi="Times New Roman" w:eastAsia="Times New Roman" w:cs="Times New Roman"/>
      <w:b/>
      <w:sz w:val="24"/>
      <w:szCs w:val="20"/>
      <w:lang w:val="x-none" w:eastAsia="x-none"/>
    </w:rPr>
  </w:style>
  <w:style w:type="paragraph" w:styleId="4">
    <w:name w:val="Heading 4"/>
    <w:basedOn w:val="Normal"/>
    <w:link w:val="40"/>
    <w:uiPriority w:val="9"/>
    <w:semiHidden/>
    <w:unhideWhenUsed/>
    <w:qFormat/>
    <w:rsid w:val="00d36c97"/>
    <w:pPr>
      <w:keepNext w:val="true"/>
      <w:keepLines/>
      <w:spacing w:before="40" w:after="0"/>
      <w:outlineLvl w:val="3"/>
    </w:pPr>
    <w:rPr>
      <w:rFonts w:ascii="Cambria" w:hAnsi="Cambria"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Style12" w:customStyle="1">
    <w:name w:val="Верхний колонтитул Знак"/>
    <w:basedOn w:val="DefaultParagraphFont"/>
    <w:qFormat/>
    <w:rPr/>
  </w:style>
  <w:style w:type="character" w:styleId="Style13" w:customStyle="1">
    <w:name w:val="Нижний колонтитул Знак"/>
    <w:basedOn w:val="DefaultParagraphFont"/>
    <w:uiPriority w:val="99"/>
    <w:qFormat/>
    <w:rPr/>
  </w:style>
  <w:style w:type="character" w:styleId="Style14" w:customStyle="1">
    <w:name w:val="Основной текст Знак"/>
    <w:basedOn w:val="DefaultParagraphFont"/>
    <w:qFormat/>
    <w:rPr>
      <w:rFonts w:ascii="Times New Roman" w:hAnsi="Times New Roman" w:eastAsia="Times New Roman" w:cs="Times New Roman"/>
      <w:sz w:val="28"/>
      <w:szCs w:val="28"/>
      <w:lang w:val="x-none" w:eastAsia="x-none"/>
    </w:rPr>
  </w:style>
  <w:style w:type="character" w:styleId="Annotationreference">
    <w:name w:val="annotation reference"/>
    <w:basedOn w:val="DefaultParagraphFont"/>
    <w:uiPriority w:val="99"/>
    <w:semiHidden/>
    <w:unhideWhenUsed/>
    <w:qFormat/>
    <w:rPr>
      <w:sz w:val="16"/>
      <w:szCs w:val="16"/>
    </w:rPr>
  </w:style>
  <w:style w:type="character" w:styleId="Style15" w:customStyle="1">
    <w:name w:val="Текст примечания Знак"/>
    <w:basedOn w:val="DefaultParagraphFont"/>
    <w:uiPriority w:val="99"/>
    <w:qFormat/>
    <w:rPr>
      <w:sz w:val="20"/>
      <w:szCs w:val="20"/>
    </w:rPr>
  </w:style>
  <w:style w:type="character" w:styleId="Style16" w:customStyle="1">
    <w:name w:val="Тема примечания Знак"/>
    <w:basedOn w:val="Style15"/>
    <w:uiPriority w:val="99"/>
    <w:semiHidden/>
    <w:qFormat/>
    <w:rPr>
      <w:b/>
      <w:bCs/>
      <w:sz w:val="20"/>
      <w:szCs w:val="20"/>
    </w:rPr>
  </w:style>
  <w:style w:type="character" w:styleId="Style17" w:customStyle="1">
    <w:name w:val="Текст выноски Знак"/>
    <w:basedOn w:val="DefaultParagraphFont"/>
    <w:uiPriority w:val="99"/>
    <w:semiHidden/>
    <w:qFormat/>
    <w:rPr>
      <w:rFonts w:ascii="Segoe UI" w:hAnsi="Segoe UI" w:cs="Segoe UI"/>
      <w:sz w:val="18"/>
      <w:szCs w:val="18"/>
    </w:rPr>
  </w:style>
  <w:style w:type="character" w:styleId="Style18" w:customStyle="1">
    <w:name w:val="Текст сноски Знак"/>
    <w:basedOn w:val="DefaultParagraphFont"/>
    <w:uiPriority w:val="99"/>
    <w:qFormat/>
    <w:rPr>
      <w:rFonts w:ascii="Times New Roman" w:hAnsi="Times New Roman" w:eastAsia="Times New Roman" w:cs="Times New Roman"/>
      <w:sz w:val="20"/>
      <w:szCs w:val="20"/>
      <w:lang w:eastAsia="ru-RU"/>
    </w:rPr>
  </w:style>
  <w:style w:type="character" w:styleId="Style19" w:customStyle="1">
    <w:name w:val="Абзац списка Знак"/>
    <w:uiPriority w:val="34"/>
    <w:qFormat/>
    <w:rPr>
      <w:rFonts w:ascii="Times New Roman" w:hAnsi="Times New Roman" w:eastAsia="Times New Roman" w:cs="Times New Roman"/>
      <w:sz w:val="20"/>
      <w:szCs w:val="20"/>
      <w:lang w:val="x-none" w:eastAsia="ar-SA"/>
    </w:rPr>
  </w:style>
  <w:style w:type="character" w:styleId="2" w:customStyle="1">
    <w:name w:val="Стиль2 Знак"/>
    <w:link w:val="2"/>
    <w:uiPriority w:val="99"/>
    <w:qFormat/>
    <w:rPr>
      <w:rFonts w:ascii="Times New Roman" w:hAnsi="Times New Roman" w:eastAsia="Times New Roman" w:cs="Times New Roman"/>
      <w:sz w:val="24"/>
      <w:szCs w:val="24"/>
      <w:lang w:val="x-none" w:eastAsia="ar-SA"/>
    </w:rPr>
  </w:style>
  <w:style w:type="character" w:styleId="Style20" w:customStyle="1">
    <w:name w:val="Текст концевой сноски Знак"/>
    <w:basedOn w:val="DefaultParagraphFont"/>
    <w:uiPriority w:val="99"/>
    <w:semiHidden/>
    <w:qFormat/>
    <w:rPr>
      <w:sz w:val="20"/>
      <w:szCs w:val="20"/>
    </w:rPr>
  </w:style>
  <w:style w:type="character" w:styleId="Endnotereference">
    <w:name w:val="endnote reference"/>
    <w:basedOn w:val="DefaultParagraphFont"/>
    <w:uiPriority w:val="99"/>
    <w:semiHidden/>
    <w:unhideWhenUsed/>
    <w:qFormat/>
    <w:rPr>
      <w:vertAlign w:val="superscript"/>
    </w:rPr>
  </w:style>
  <w:style w:type="character" w:styleId="Footnotereference">
    <w:name w:val="footnote reference"/>
    <w:basedOn w:val="DefaultParagraphFont"/>
    <w:uiPriority w:val="99"/>
    <w:semiHidden/>
    <w:unhideWhenUsed/>
    <w:qFormat/>
    <w:rPr>
      <w:vertAlign w:val="superscript"/>
    </w:rPr>
  </w:style>
  <w:style w:type="character" w:styleId="11" w:customStyle="1">
    <w:name w:val="Заголовок 1 Знак"/>
    <w:basedOn w:val="DefaultParagraphFont"/>
    <w:link w:val="1"/>
    <w:uiPriority w:val="9"/>
    <w:qFormat/>
    <w:rsid w:val="00842f5e"/>
    <w:rPr>
      <w:rFonts w:ascii="Times New Roman" w:hAnsi="Times New Roman" w:eastAsia="Times New Roman" w:cs="Times New Roman"/>
      <w:b/>
      <w:sz w:val="24"/>
      <w:szCs w:val="20"/>
      <w:lang w:val="x-none" w:eastAsia="x-none"/>
    </w:rPr>
  </w:style>
  <w:style w:type="character" w:styleId="3" w:customStyle="1">
    <w:name w:val="Основной текст с отступом 3 Знак"/>
    <w:basedOn w:val="DefaultParagraphFont"/>
    <w:link w:val="3"/>
    <w:qFormat/>
    <w:rsid w:val="00a61b8e"/>
    <w:rPr>
      <w:rFonts w:ascii="Times New Roman" w:hAnsi="Times New Roman" w:eastAsia="Times New Roman" w:cs="Times New Roman"/>
      <w:sz w:val="16"/>
      <w:szCs w:val="16"/>
      <w:lang w:eastAsia="ru-RU"/>
    </w:rPr>
  </w:style>
  <w:style w:type="character" w:styleId="Strong">
    <w:name w:val="Strong"/>
    <w:qFormat/>
    <w:rsid w:val="00a61b8e"/>
    <w:rPr>
      <w:b/>
      <w:bCs/>
    </w:rPr>
  </w:style>
  <w:style w:type="character" w:styleId="41" w:customStyle="1">
    <w:name w:val="Заголовок 4 Знак"/>
    <w:basedOn w:val="DefaultParagraphFont"/>
    <w:link w:val="4"/>
    <w:uiPriority w:val="9"/>
    <w:semiHidden/>
    <w:qFormat/>
    <w:rsid w:val="00d36c97"/>
    <w:rPr>
      <w:rFonts w:ascii="Cambria" w:hAnsi="Cambria" w:eastAsia="" w:cs="" w:asciiTheme="majorHAnsi" w:cstheme="majorBidi" w:eastAsiaTheme="majorEastAsia" w:hAnsiTheme="majorHAnsi"/>
      <w:i/>
      <w:iCs/>
      <w:color w:val="365F91" w:themeColor="accent1" w:themeShade="bf"/>
    </w:rPr>
  </w:style>
  <w:style w:type="character" w:styleId="Style21" w:customStyle="1">
    <w:name w:val="Интернет-ссылка"/>
    <w:uiPriority w:val="99"/>
    <w:rsid w:val="00bc703b"/>
    <w:rPr>
      <w:color w:val="0000FF"/>
      <w:u w:val="single"/>
    </w:rPr>
  </w:style>
  <w:style w:type="character" w:styleId="FollowedHyperlink">
    <w:name w:val="FollowedHyperlink"/>
    <w:basedOn w:val="DefaultParagraphFont"/>
    <w:uiPriority w:val="99"/>
    <w:semiHidden/>
    <w:unhideWhenUsed/>
    <w:qFormat/>
    <w:rsid w:val="00480847"/>
    <w:rPr>
      <w:color w:val="800080" w:themeColor="followedHyperlink"/>
      <w:u w:val="single"/>
    </w:rPr>
  </w:style>
  <w:style w:type="character" w:styleId="Style22" w:customStyle="1">
    <w:name w:val="комментарий"/>
    <w:qFormat/>
    <w:rsid w:val="00206d6d"/>
    <w:rPr>
      <w:i/>
      <w:shd w:fill="FFFF99" w:val="clear"/>
    </w:rPr>
  </w:style>
  <w:style w:type="character" w:styleId="Style23" w:customStyle="1">
    <w:name w:val="Заголовок для сожерж Знак"/>
    <w:qFormat/>
    <w:rsid w:val="00c619d9"/>
    <w:rPr>
      <w:rFonts w:ascii="Times New Roman" w:hAnsi="Times New Roman" w:eastAsia="Times New Roman" w:cs="Times New Roman"/>
      <w:sz w:val="24"/>
      <w:szCs w:val="24"/>
      <w:lang w:eastAsia="ru-RU"/>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b/>
      <w:sz w:val="28"/>
    </w:rPr>
  </w:style>
  <w:style w:type="character" w:styleId="ListLabel11" w:customStyle="1">
    <w:name w:val="ListLabel 11"/>
    <w:qFormat/>
    <w:rPr>
      <w:b/>
    </w:rPr>
  </w:style>
  <w:style w:type="character" w:styleId="ListLabel12" w:customStyle="1">
    <w:name w:val="ListLabel 12"/>
    <w:qFormat/>
    <w:rPr>
      <w:b/>
    </w:rPr>
  </w:style>
  <w:style w:type="character" w:styleId="ListLabel13" w:customStyle="1">
    <w:name w:val="ListLabel 13"/>
    <w:qFormat/>
    <w:rPr>
      <w:b w:val="false"/>
    </w:rPr>
  </w:style>
  <w:style w:type="character" w:styleId="ListLabel14" w:customStyle="1">
    <w:name w:val="ListLabel 14"/>
    <w:qFormat/>
    <w:rPr>
      <w:b w:val="false"/>
    </w:rPr>
  </w:style>
  <w:style w:type="character" w:styleId="ListLabel15" w:customStyle="1">
    <w:name w:val="ListLabel 15"/>
    <w:qFormat/>
    <w:rPr>
      <w:b w:val="false"/>
    </w:rPr>
  </w:style>
  <w:style w:type="character" w:styleId="ListLabel16" w:customStyle="1">
    <w:name w:val="ListLabel 16"/>
    <w:qFormat/>
    <w:rPr>
      <w:b w:val="false"/>
    </w:rPr>
  </w:style>
  <w:style w:type="character" w:styleId="ListLabel17" w:customStyle="1">
    <w:name w:val="ListLabel 17"/>
    <w:qFormat/>
    <w:rPr>
      <w:b w:val="false"/>
    </w:rPr>
  </w:style>
  <w:style w:type="character" w:styleId="ListLabel18" w:customStyle="1">
    <w:name w:val="ListLabel 18"/>
    <w:qFormat/>
    <w:rPr>
      <w:b w:val="false"/>
    </w:rPr>
  </w:style>
  <w:style w:type="character" w:styleId="ListLabel19" w:customStyle="1">
    <w:name w:val="ListLabel 19"/>
    <w:qFormat/>
    <w:rPr>
      <w:b/>
      <w:sz w:val="24"/>
      <w:szCs w:val="24"/>
    </w:rPr>
  </w:style>
  <w:style w:type="character" w:styleId="ListLabel20" w:customStyle="1">
    <w:name w:val="ListLabel 20"/>
    <w:qFormat/>
    <w:rPr>
      <w:b w:val="false"/>
    </w:rPr>
  </w:style>
  <w:style w:type="character" w:styleId="ListLabel21" w:customStyle="1">
    <w:name w:val="ListLabel 21"/>
    <w:qFormat/>
    <w:rPr>
      <w:b/>
    </w:rPr>
  </w:style>
  <w:style w:type="character" w:styleId="ListLabel22" w:customStyle="1">
    <w:name w:val="ListLabel 22"/>
    <w:qFormat/>
    <w:rPr>
      <w:b/>
    </w:rPr>
  </w:style>
  <w:style w:type="character" w:styleId="ListLabel23" w:customStyle="1">
    <w:name w:val="ListLabel 23"/>
    <w:qFormat/>
    <w:rPr>
      <w:b/>
    </w:rPr>
  </w:style>
  <w:style w:type="character" w:styleId="ListLabel24" w:customStyle="1">
    <w:name w:val="ListLabel 24"/>
    <w:qFormat/>
    <w:rPr>
      <w:b w:val="false"/>
    </w:rPr>
  </w:style>
  <w:style w:type="character" w:styleId="ListLabel25" w:customStyle="1">
    <w:name w:val="ListLabel 25"/>
    <w:qFormat/>
    <w:rPr>
      <w:b w:val="false"/>
    </w:rPr>
  </w:style>
  <w:style w:type="character" w:styleId="ListLabel26" w:customStyle="1">
    <w:name w:val="ListLabel 26"/>
    <w:qFormat/>
    <w:rPr>
      <w:b w:val="false"/>
    </w:rPr>
  </w:style>
  <w:style w:type="character" w:styleId="ListLabel27" w:customStyle="1">
    <w:name w:val="ListLabel 27"/>
    <w:qFormat/>
    <w:rPr>
      <w:b w:val="false"/>
    </w:rPr>
  </w:style>
  <w:style w:type="character" w:styleId="ListLabel28" w:customStyle="1">
    <w:name w:val="ListLabel 28"/>
    <w:qFormat/>
    <w:rPr>
      <w:b w:val="false"/>
    </w:rPr>
  </w:style>
  <w:style w:type="character" w:styleId="ListLabel29" w:customStyle="1">
    <w:name w:val="ListLabel 29"/>
    <w:qFormat/>
    <w:rPr>
      <w:b w:val="false"/>
    </w:rPr>
  </w:style>
  <w:style w:type="character" w:styleId="ListLabel30" w:customStyle="1">
    <w:name w:val="ListLabel 30"/>
    <w:qFormat/>
    <w:rPr>
      <w:rFonts w:cs="Courier New"/>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cs="Courier New"/>
    </w:rPr>
  </w:style>
  <w:style w:type="character" w:styleId="ListLabel35" w:customStyle="1">
    <w:name w:val="ListLabel 35"/>
    <w:qFormat/>
    <w:rPr>
      <w:rFonts w:cs="Courier New"/>
    </w:rPr>
  </w:style>
  <w:style w:type="character" w:styleId="ListLabel36" w:customStyle="1">
    <w:name w:val="ListLabel 36"/>
    <w:qFormat/>
    <w:rPr>
      <w:rFonts w:cs="Symbol"/>
      <w:b/>
      <w:sz w:val="24"/>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cs="Symbol"/>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cs="Symbol"/>
      <w:sz w:val="24"/>
    </w:rPr>
  </w:style>
  <w:style w:type="character" w:styleId="ListLabel46" w:customStyle="1">
    <w:name w:val="ListLabel 46"/>
    <w:qFormat/>
    <w:rPr>
      <w:rFonts w:cs="Courier New"/>
    </w:rPr>
  </w:style>
  <w:style w:type="character" w:styleId="ListLabel47" w:customStyle="1">
    <w:name w:val="ListLabel 47"/>
    <w:qFormat/>
    <w:rPr>
      <w:rFonts w:cs="Wingdings"/>
    </w:rPr>
  </w:style>
  <w:style w:type="character" w:styleId="ListLabel48" w:customStyle="1">
    <w:name w:val="ListLabel 48"/>
    <w:qFormat/>
    <w:rPr>
      <w:rFonts w:cs="Symbol"/>
    </w:rPr>
  </w:style>
  <w:style w:type="character" w:styleId="ListLabel49" w:customStyle="1">
    <w:name w:val="ListLabel 49"/>
    <w:qFormat/>
    <w:rPr>
      <w:rFonts w:cs="Courier New"/>
    </w:rPr>
  </w:style>
  <w:style w:type="character" w:styleId="ListLabel50" w:customStyle="1">
    <w:name w:val="ListLabel 50"/>
    <w:qFormat/>
    <w:rPr>
      <w:rFonts w:cs="Wingdings"/>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cs="Symbol"/>
      <w:sz w:val="24"/>
      <w:szCs w:val="24"/>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cs="Symbol"/>
    </w:rPr>
  </w:style>
  <w:style w:type="character" w:styleId="ListLabel61" w:customStyle="1">
    <w:name w:val="ListLabel 61"/>
    <w:qFormat/>
    <w:rPr>
      <w:rFonts w:cs="Courier New"/>
    </w:rPr>
  </w:style>
  <w:style w:type="character" w:styleId="ListLabel62" w:customStyle="1">
    <w:name w:val="ListLabel 62"/>
    <w:qFormat/>
    <w:rPr>
      <w:rFonts w:cs="Wingdings"/>
    </w:rPr>
  </w:style>
  <w:style w:type="character" w:styleId="Style24" w:customStyle="1">
    <w:name w:val="Ссылка указателя"/>
    <w:qFormat/>
    <w:rPr/>
  </w:style>
  <w:style w:type="character" w:styleId="Style25" w:customStyle="1">
    <w:name w:val="Посещённая гиперссылка"/>
    <w:basedOn w:val="DefaultParagraphFont"/>
    <w:rPr>
      <w:color w:val="800080"/>
      <w:u w:val="single"/>
    </w:rPr>
  </w:style>
  <w:style w:type="character" w:styleId="ListLabel63" w:customStyle="1">
    <w:name w:val="ListLabel 63"/>
    <w:qFormat/>
    <w:rPr>
      <w:b/>
      <w:sz w:val="28"/>
    </w:rPr>
  </w:style>
  <w:style w:type="character" w:styleId="ListLabel64" w:customStyle="1">
    <w:name w:val="ListLabel 64"/>
    <w:qFormat/>
    <w:rPr>
      <w:b/>
    </w:rPr>
  </w:style>
  <w:style w:type="character" w:styleId="ListLabel65" w:customStyle="1">
    <w:name w:val="ListLabel 65"/>
    <w:qFormat/>
    <w:rPr>
      <w:b/>
    </w:rPr>
  </w:style>
  <w:style w:type="character" w:styleId="ListLabel66" w:customStyle="1">
    <w:name w:val="ListLabel 66"/>
    <w:qFormat/>
    <w:rPr>
      <w:b w:val="false"/>
    </w:rPr>
  </w:style>
  <w:style w:type="character" w:styleId="ListLabel67" w:customStyle="1">
    <w:name w:val="ListLabel 67"/>
    <w:qFormat/>
    <w:rPr>
      <w:b w:val="false"/>
    </w:rPr>
  </w:style>
  <w:style w:type="character" w:styleId="ListLabel68" w:customStyle="1">
    <w:name w:val="ListLabel 68"/>
    <w:qFormat/>
    <w:rPr>
      <w:b w:val="false"/>
    </w:rPr>
  </w:style>
  <w:style w:type="character" w:styleId="ListLabel69" w:customStyle="1">
    <w:name w:val="ListLabel 69"/>
    <w:qFormat/>
    <w:rPr>
      <w:b w:val="false"/>
    </w:rPr>
  </w:style>
  <w:style w:type="character" w:styleId="ListLabel70" w:customStyle="1">
    <w:name w:val="ListLabel 70"/>
    <w:qFormat/>
    <w:rPr>
      <w:b w:val="false"/>
    </w:rPr>
  </w:style>
  <w:style w:type="character" w:styleId="ListLabel71" w:customStyle="1">
    <w:name w:val="ListLabel 71"/>
    <w:qFormat/>
    <w:rPr>
      <w:b w:val="false"/>
    </w:rPr>
  </w:style>
  <w:style w:type="character" w:styleId="ListLabel72" w:customStyle="1">
    <w:name w:val="ListLabel 72"/>
    <w:qFormat/>
    <w:rPr>
      <w:rFonts w:ascii="Times New Roman" w:hAnsi="Times New Roman" w:cs="Symbol"/>
      <w:sz w:val="24"/>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cs="Symbol"/>
    </w:rPr>
  </w:style>
  <w:style w:type="character" w:styleId="ListLabel76" w:customStyle="1">
    <w:name w:val="ListLabel 76"/>
    <w:qFormat/>
    <w:rPr>
      <w:rFonts w:cs="Courier New"/>
    </w:rPr>
  </w:style>
  <w:style w:type="character" w:styleId="ListLabel77" w:customStyle="1">
    <w:name w:val="ListLabel 77"/>
    <w:qFormat/>
    <w:rPr>
      <w:rFonts w:cs="Wingdings"/>
    </w:rPr>
  </w:style>
  <w:style w:type="character" w:styleId="ListLabel78" w:customStyle="1">
    <w:name w:val="ListLabel 78"/>
    <w:qFormat/>
    <w:rPr>
      <w:rFonts w:cs="Symbol"/>
    </w:rPr>
  </w:style>
  <w:style w:type="character" w:styleId="ListLabel79" w:customStyle="1">
    <w:name w:val="ListLabel 79"/>
    <w:qFormat/>
    <w:rPr>
      <w:rFonts w:cs="Courier New"/>
    </w:rPr>
  </w:style>
  <w:style w:type="character" w:styleId="ListLabel80" w:customStyle="1">
    <w:name w:val="ListLabel 80"/>
    <w:qFormat/>
    <w:rPr>
      <w:rFonts w:cs="Wingdings"/>
    </w:rPr>
  </w:style>
  <w:style w:type="character" w:styleId="ListLabel81" w:customStyle="1">
    <w:name w:val="ListLabel 81"/>
    <w:qFormat/>
    <w:rPr>
      <w:b/>
      <w:sz w:val="28"/>
    </w:rPr>
  </w:style>
  <w:style w:type="character" w:styleId="ListLabel82" w:customStyle="1">
    <w:name w:val="ListLabel 82"/>
    <w:qFormat/>
    <w:rPr>
      <w:b/>
    </w:rPr>
  </w:style>
  <w:style w:type="character" w:styleId="ListLabel83" w:customStyle="1">
    <w:name w:val="ListLabel 83"/>
    <w:qFormat/>
    <w:rPr>
      <w:b/>
    </w:rPr>
  </w:style>
  <w:style w:type="character" w:styleId="ListLabel84" w:customStyle="1">
    <w:name w:val="ListLabel 84"/>
    <w:qFormat/>
    <w:rPr>
      <w:b w:val="false"/>
    </w:rPr>
  </w:style>
  <w:style w:type="character" w:styleId="ListLabel85" w:customStyle="1">
    <w:name w:val="ListLabel 85"/>
    <w:qFormat/>
    <w:rPr>
      <w:b w:val="false"/>
    </w:rPr>
  </w:style>
  <w:style w:type="character" w:styleId="ListLabel86" w:customStyle="1">
    <w:name w:val="ListLabel 86"/>
    <w:qFormat/>
    <w:rPr>
      <w:b w:val="false"/>
    </w:rPr>
  </w:style>
  <w:style w:type="character" w:styleId="ListLabel87" w:customStyle="1">
    <w:name w:val="ListLabel 87"/>
    <w:qFormat/>
    <w:rPr>
      <w:b w:val="false"/>
    </w:rPr>
  </w:style>
  <w:style w:type="character" w:styleId="ListLabel88" w:customStyle="1">
    <w:name w:val="ListLabel 88"/>
    <w:qFormat/>
    <w:rPr>
      <w:b w:val="false"/>
    </w:rPr>
  </w:style>
  <w:style w:type="character" w:styleId="ListLabel89" w:customStyle="1">
    <w:name w:val="ListLabel 89"/>
    <w:qFormat/>
    <w:rPr>
      <w:b w:val="false"/>
    </w:rPr>
  </w:style>
  <w:style w:type="character" w:styleId="ListLabel90" w:customStyle="1">
    <w:name w:val="ListLabel 90"/>
    <w:qFormat/>
    <w:rPr>
      <w:rFonts w:ascii="Times New Roman" w:hAnsi="Times New Roman" w:cs="Symbol"/>
      <w:sz w:val="24"/>
    </w:rPr>
  </w:style>
  <w:style w:type="character" w:styleId="ListLabel91" w:customStyle="1">
    <w:name w:val="ListLabel 91"/>
    <w:qFormat/>
    <w:rPr>
      <w:rFonts w:cs="Courier New"/>
    </w:rPr>
  </w:style>
  <w:style w:type="character" w:styleId="ListLabel92" w:customStyle="1">
    <w:name w:val="ListLabel 92"/>
    <w:qFormat/>
    <w:rPr>
      <w:rFonts w:cs="Wingdings"/>
    </w:rPr>
  </w:style>
  <w:style w:type="character" w:styleId="ListLabel93" w:customStyle="1">
    <w:name w:val="ListLabel 93"/>
    <w:qFormat/>
    <w:rPr>
      <w:rFonts w:cs="Symbol"/>
    </w:rPr>
  </w:style>
  <w:style w:type="character" w:styleId="ListLabel94" w:customStyle="1">
    <w:name w:val="ListLabel 94"/>
    <w:qFormat/>
    <w:rPr>
      <w:rFonts w:cs="Courier New"/>
    </w:rPr>
  </w:style>
  <w:style w:type="character" w:styleId="ListLabel95" w:customStyle="1">
    <w:name w:val="ListLabel 95"/>
    <w:qFormat/>
    <w:rPr>
      <w:rFonts w:cs="Wingdings"/>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b/>
      <w:sz w:val="28"/>
    </w:rPr>
  </w:style>
  <w:style w:type="character" w:styleId="ListLabel100" w:customStyle="1">
    <w:name w:val="ListLabel 100"/>
    <w:qFormat/>
    <w:rPr>
      <w:b/>
    </w:rPr>
  </w:style>
  <w:style w:type="character" w:styleId="ListLabel101" w:customStyle="1">
    <w:name w:val="ListLabel 101"/>
    <w:qFormat/>
    <w:rPr>
      <w:b/>
    </w:rPr>
  </w:style>
  <w:style w:type="character" w:styleId="ListLabel102" w:customStyle="1">
    <w:name w:val="ListLabel 102"/>
    <w:qFormat/>
    <w:rPr>
      <w:b w:val="false"/>
    </w:rPr>
  </w:style>
  <w:style w:type="character" w:styleId="ListLabel103" w:customStyle="1">
    <w:name w:val="ListLabel 103"/>
    <w:qFormat/>
    <w:rPr>
      <w:b w:val="false"/>
    </w:rPr>
  </w:style>
  <w:style w:type="character" w:styleId="ListLabel104" w:customStyle="1">
    <w:name w:val="ListLabel 104"/>
    <w:qFormat/>
    <w:rPr>
      <w:b w:val="false"/>
    </w:rPr>
  </w:style>
  <w:style w:type="character" w:styleId="ListLabel105" w:customStyle="1">
    <w:name w:val="ListLabel 105"/>
    <w:qFormat/>
    <w:rPr>
      <w:b w:val="false"/>
    </w:rPr>
  </w:style>
  <w:style w:type="character" w:styleId="ListLabel106" w:customStyle="1">
    <w:name w:val="ListLabel 106"/>
    <w:qFormat/>
    <w:rPr>
      <w:b w:val="false"/>
    </w:rPr>
  </w:style>
  <w:style w:type="character" w:styleId="ListLabel107" w:customStyle="1">
    <w:name w:val="ListLabel 107"/>
    <w:qFormat/>
    <w:rPr>
      <w:b w:val="false"/>
    </w:rPr>
  </w:style>
  <w:style w:type="character" w:styleId="ListLabel108" w:customStyle="1">
    <w:name w:val="ListLabel 108"/>
    <w:qFormat/>
    <w:rPr>
      <w:rFonts w:ascii="Times New Roman" w:hAnsi="Times New Roman" w:cs="Symbol"/>
      <w:sz w:val="24"/>
    </w:rPr>
  </w:style>
  <w:style w:type="character" w:styleId="ListLabel109" w:customStyle="1">
    <w:name w:val="ListLabel 109"/>
    <w:qFormat/>
    <w:rPr>
      <w:rFonts w:cs="Courier New"/>
    </w:rPr>
  </w:style>
  <w:style w:type="character" w:styleId="ListLabel110" w:customStyle="1">
    <w:name w:val="ListLabel 110"/>
    <w:qFormat/>
    <w:rPr>
      <w:rFonts w:cs="Wingdings"/>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cs="Symbol"/>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b/>
      <w:sz w:val="28"/>
    </w:rPr>
  </w:style>
  <w:style w:type="character" w:styleId="ListLabel118" w:customStyle="1">
    <w:name w:val="ListLabel 118"/>
    <w:qFormat/>
    <w:rPr>
      <w:b/>
    </w:rPr>
  </w:style>
  <w:style w:type="character" w:styleId="ListLabel119" w:customStyle="1">
    <w:name w:val="ListLabel 119"/>
    <w:qFormat/>
    <w:rPr>
      <w:b/>
    </w:rPr>
  </w:style>
  <w:style w:type="character" w:styleId="ListLabel120" w:customStyle="1">
    <w:name w:val="ListLabel 120"/>
    <w:qFormat/>
    <w:rPr>
      <w:b w:val="false"/>
    </w:rPr>
  </w:style>
  <w:style w:type="character" w:styleId="ListLabel121" w:customStyle="1">
    <w:name w:val="ListLabel 121"/>
    <w:qFormat/>
    <w:rPr>
      <w:b w:val="false"/>
    </w:rPr>
  </w:style>
  <w:style w:type="character" w:styleId="ListLabel122" w:customStyle="1">
    <w:name w:val="ListLabel 122"/>
    <w:qFormat/>
    <w:rPr>
      <w:b w:val="false"/>
    </w:rPr>
  </w:style>
  <w:style w:type="character" w:styleId="ListLabel123" w:customStyle="1">
    <w:name w:val="ListLabel 123"/>
    <w:qFormat/>
    <w:rPr>
      <w:b w:val="false"/>
    </w:rPr>
  </w:style>
  <w:style w:type="character" w:styleId="ListLabel124" w:customStyle="1">
    <w:name w:val="ListLabel 124"/>
    <w:qFormat/>
    <w:rPr>
      <w:b w:val="false"/>
    </w:rPr>
  </w:style>
  <w:style w:type="character" w:styleId="ListLabel125" w:customStyle="1">
    <w:name w:val="ListLabel 125"/>
    <w:qFormat/>
    <w:rPr>
      <w:b w:val="false"/>
    </w:rPr>
  </w:style>
  <w:style w:type="character" w:styleId="ListLabel126" w:customStyle="1">
    <w:name w:val="ListLabel 126"/>
    <w:qFormat/>
    <w:rPr>
      <w:rFonts w:ascii="Times New Roman" w:hAnsi="Times New Roman" w:cs="Symbol"/>
      <w:sz w:val="24"/>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cs="Symbol"/>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b/>
      <w:sz w:val="28"/>
    </w:rPr>
  </w:style>
  <w:style w:type="character" w:styleId="ListLabel136" w:customStyle="1">
    <w:name w:val="ListLabel 136"/>
    <w:qFormat/>
    <w:rPr>
      <w:b/>
    </w:rPr>
  </w:style>
  <w:style w:type="character" w:styleId="ListLabel137" w:customStyle="1">
    <w:name w:val="ListLabel 137"/>
    <w:qFormat/>
    <w:rPr>
      <w:b/>
    </w:rPr>
  </w:style>
  <w:style w:type="character" w:styleId="ListLabel138" w:customStyle="1">
    <w:name w:val="ListLabel 138"/>
    <w:qFormat/>
    <w:rPr>
      <w:b w:val="false"/>
    </w:rPr>
  </w:style>
  <w:style w:type="character" w:styleId="ListLabel139" w:customStyle="1">
    <w:name w:val="ListLabel 139"/>
    <w:qFormat/>
    <w:rPr>
      <w:b w:val="false"/>
    </w:rPr>
  </w:style>
  <w:style w:type="character" w:styleId="ListLabel140" w:customStyle="1">
    <w:name w:val="ListLabel 140"/>
    <w:qFormat/>
    <w:rPr>
      <w:b w:val="false"/>
    </w:rPr>
  </w:style>
  <w:style w:type="character" w:styleId="ListLabel141" w:customStyle="1">
    <w:name w:val="ListLabel 141"/>
    <w:qFormat/>
    <w:rPr>
      <w:b w:val="false"/>
    </w:rPr>
  </w:style>
  <w:style w:type="character" w:styleId="ListLabel142" w:customStyle="1">
    <w:name w:val="ListLabel 142"/>
    <w:qFormat/>
    <w:rPr>
      <w:b w:val="false"/>
    </w:rPr>
  </w:style>
  <w:style w:type="character" w:styleId="ListLabel143" w:customStyle="1">
    <w:name w:val="ListLabel 143"/>
    <w:qFormat/>
    <w:rPr>
      <w:b w:val="false"/>
    </w:rPr>
  </w:style>
  <w:style w:type="character" w:styleId="ListLabel144" w:customStyle="1">
    <w:name w:val="ListLabel 144"/>
    <w:qFormat/>
    <w:rPr>
      <w:rFonts w:ascii="Times New Roman" w:hAnsi="Times New Roman" w:cs="Symbol"/>
      <w:sz w:val="24"/>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cs="Symbol"/>
    </w:rPr>
  </w:style>
  <w:style w:type="character" w:styleId="ListLabel151" w:customStyle="1">
    <w:name w:val="ListLabel 151"/>
    <w:qFormat/>
    <w:rPr>
      <w:rFonts w:cs="Courier New"/>
    </w:rPr>
  </w:style>
  <w:style w:type="character" w:styleId="ListLabel152" w:customStyle="1">
    <w:name w:val="ListLabel 152"/>
    <w:qFormat/>
    <w:rPr>
      <w:rFonts w:cs="Wingdings"/>
    </w:rPr>
  </w:style>
  <w:style w:type="character" w:styleId="ListLabel153" w:customStyle="1">
    <w:name w:val="ListLabel 153"/>
    <w:qFormat/>
    <w:rPr>
      <w:b/>
      <w:sz w:val="28"/>
    </w:rPr>
  </w:style>
  <w:style w:type="character" w:styleId="ListLabel154" w:customStyle="1">
    <w:name w:val="ListLabel 154"/>
    <w:qFormat/>
    <w:rPr>
      <w:b/>
    </w:rPr>
  </w:style>
  <w:style w:type="character" w:styleId="ListLabel155" w:customStyle="1">
    <w:name w:val="ListLabel 155"/>
    <w:qFormat/>
    <w:rPr>
      <w:b/>
    </w:rPr>
  </w:style>
  <w:style w:type="character" w:styleId="ListLabel156" w:customStyle="1">
    <w:name w:val="ListLabel 156"/>
    <w:qFormat/>
    <w:rPr>
      <w:b w:val="false"/>
    </w:rPr>
  </w:style>
  <w:style w:type="character" w:styleId="ListLabel157" w:customStyle="1">
    <w:name w:val="ListLabel 157"/>
    <w:qFormat/>
    <w:rPr>
      <w:b w:val="false"/>
    </w:rPr>
  </w:style>
  <w:style w:type="character" w:styleId="ListLabel158" w:customStyle="1">
    <w:name w:val="ListLabel 158"/>
    <w:qFormat/>
    <w:rPr>
      <w:b w:val="false"/>
    </w:rPr>
  </w:style>
  <w:style w:type="character" w:styleId="ListLabel159" w:customStyle="1">
    <w:name w:val="ListLabel 159"/>
    <w:qFormat/>
    <w:rPr>
      <w:b w:val="false"/>
    </w:rPr>
  </w:style>
  <w:style w:type="character" w:styleId="ListLabel160" w:customStyle="1">
    <w:name w:val="ListLabel 160"/>
    <w:qFormat/>
    <w:rPr>
      <w:b w:val="false"/>
    </w:rPr>
  </w:style>
  <w:style w:type="character" w:styleId="ListLabel161" w:customStyle="1">
    <w:name w:val="ListLabel 161"/>
    <w:qFormat/>
    <w:rPr>
      <w:b w:val="false"/>
    </w:rPr>
  </w:style>
  <w:style w:type="character" w:styleId="ListLabel162" w:customStyle="1">
    <w:name w:val="ListLabel 162"/>
    <w:qFormat/>
    <w:rPr>
      <w:rFonts w:ascii="Times New Roman" w:hAnsi="Times New Roman" w:cs="Symbol"/>
      <w:sz w:val="24"/>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cs="Symbol"/>
    </w:rPr>
  </w:style>
  <w:style w:type="character" w:styleId="ListLabel166" w:customStyle="1">
    <w:name w:val="ListLabel 166"/>
    <w:qFormat/>
    <w:rPr>
      <w:rFonts w:cs="Courier New"/>
    </w:rPr>
  </w:style>
  <w:style w:type="character" w:styleId="ListLabel167" w:customStyle="1">
    <w:name w:val="ListLabel 167"/>
    <w:qFormat/>
    <w:rPr>
      <w:rFonts w:cs="Wingdings"/>
    </w:rPr>
  </w:style>
  <w:style w:type="character" w:styleId="ListLabel168" w:customStyle="1">
    <w:name w:val="ListLabel 168"/>
    <w:qFormat/>
    <w:rPr>
      <w:rFonts w:cs="Symbol"/>
    </w:rPr>
  </w:style>
  <w:style w:type="character" w:styleId="ListLabel169" w:customStyle="1">
    <w:name w:val="ListLabel 169"/>
    <w:qFormat/>
    <w:rPr>
      <w:rFonts w:cs="Courier New"/>
    </w:rPr>
  </w:style>
  <w:style w:type="character" w:styleId="ListLabel170" w:customStyle="1">
    <w:name w:val="ListLabel 170"/>
    <w:qFormat/>
    <w:rPr>
      <w:rFonts w:cs="Wingdings"/>
    </w:rPr>
  </w:style>
  <w:style w:type="character" w:styleId="ListLabel171" w:customStyle="1">
    <w:name w:val="ListLabel 171"/>
    <w:qFormat/>
    <w:rPr>
      <w:b/>
      <w:sz w:val="28"/>
    </w:rPr>
  </w:style>
  <w:style w:type="character" w:styleId="ListLabel172" w:customStyle="1">
    <w:name w:val="ListLabel 172"/>
    <w:qFormat/>
    <w:rPr>
      <w:b/>
    </w:rPr>
  </w:style>
  <w:style w:type="character" w:styleId="ListLabel173" w:customStyle="1">
    <w:name w:val="ListLabel 173"/>
    <w:qFormat/>
    <w:rPr>
      <w:b/>
    </w:rPr>
  </w:style>
  <w:style w:type="character" w:styleId="ListLabel174" w:customStyle="1">
    <w:name w:val="ListLabel 174"/>
    <w:qFormat/>
    <w:rPr>
      <w:b w:val="false"/>
    </w:rPr>
  </w:style>
  <w:style w:type="character" w:styleId="ListLabel175" w:customStyle="1">
    <w:name w:val="ListLabel 175"/>
    <w:qFormat/>
    <w:rPr>
      <w:b w:val="false"/>
    </w:rPr>
  </w:style>
  <w:style w:type="character" w:styleId="ListLabel176" w:customStyle="1">
    <w:name w:val="ListLabel 176"/>
    <w:qFormat/>
    <w:rPr>
      <w:b w:val="false"/>
    </w:rPr>
  </w:style>
  <w:style w:type="character" w:styleId="ListLabel177" w:customStyle="1">
    <w:name w:val="ListLabel 177"/>
    <w:qFormat/>
    <w:rPr>
      <w:b w:val="false"/>
    </w:rPr>
  </w:style>
  <w:style w:type="character" w:styleId="ListLabel178" w:customStyle="1">
    <w:name w:val="ListLabel 178"/>
    <w:qFormat/>
    <w:rPr>
      <w:b w:val="false"/>
    </w:rPr>
  </w:style>
  <w:style w:type="character" w:styleId="ListLabel179" w:customStyle="1">
    <w:name w:val="ListLabel 179"/>
    <w:qFormat/>
    <w:rPr>
      <w:b w:val="false"/>
    </w:rPr>
  </w:style>
  <w:style w:type="character" w:styleId="ListLabel180" w:customStyle="1">
    <w:name w:val="ListLabel 180"/>
    <w:qFormat/>
    <w:rPr>
      <w:rFonts w:ascii="Times New Roman" w:hAnsi="Times New Roman" w:cs="Symbol"/>
      <w:sz w:val="24"/>
    </w:rPr>
  </w:style>
  <w:style w:type="character" w:styleId="ListLabel181" w:customStyle="1">
    <w:name w:val="ListLabel 181"/>
    <w:qFormat/>
    <w:rPr>
      <w:rFonts w:cs="Courier New"/>
    </w:rPr>
  </w:style>
  <w:style w:type="character" w:styleId="ListLabel182" w:customStyle="1">
    <w:name w:val="ListLabel 182"/>
    <w:qFormat/>
    <w:rPr>
      <w:rFonts w:cs="Wingdings"/>
    </w:rPr>
  </w:style>
  <w:style w:type="character" w:styleId="ListLabel183" w:customStyle="1">
    <w:name w:val="ListLabel 183"/>
    <w:qFormat/>
    <w:rPr>
      <w:rFonts w:cs="Symbol"/>
    </w:rPr>
  </w:style>
  <w:style w:type="character" w:styleId="ListLabel184" w:customStyle="1">
    <w:name w:val="ListLabel 184"/>
    <w:qFormat/>
    <w:rPr>
      <w:rFonts w:cs="Courier New"/>
    </w:rPr>
  </w:style>
  <w:style w:type="character" w:styleId="ListLabel185" w:customStyle="1">
    <w:name w:val="ListLabel 185"/>
    <w:qFormat/>
    <w:rPr>
      <w:rFonts w:cs="Wingdings"/>
    </w:rPr>
  </w:style>
  <w:style w:type="character" w:styleId="ListLabel186" w:customStyle="1">
    <w:name w:val="ListLabel 186"/>
    <w:qFormat/>
    <w:rPr>
      <w:rFonts w:cs="Symbol"/>
    </w:rPr>
  </w:style>
  <w:style w:type="character" w:styleId="ListLabel187" w:customStyle="1">
    <w:name w:val="ListLabel 187"/>
    <w:qFormat/>
    <w:rPr>
      <w:rFonts w:cs="Courier New"/>
    </w:rPr>
  </w:style>
  <w:style w:type="character" w:styleId="ListLabel188" w:customStyle="1">
    <w:name w:val="ListLabel 188"/>
    <w:qFormat/>
    <w:rPr>
      <w:rFonts w:cs="Wingdings"/>
    </w:rPr>
  </w:style>
  <w:style w:type="character" w:styleId="ListLabel189" w:customStyle="1">
    <w:name w:val="ListLabel 189"/>
    <w:qFormat/>
    <w:rPr>
      <w:b/>
      <w:sz w:val="28"/>
    </w:rPr>
  </w:style>
  <w:style w:type="character" w:styleId="ListLabel190" w:customStyle="1">
    <w:name w:val="ListLabel 190"/>
    <w:qFormat/>
    <w:rPr>
      <w:b/>
    </w:rPr>
  </w:style>
  <w:style w:type="character" w:styleId="ListLabel191" w:customStyle="1">
    <w:name w:val="ListLabel 191"/>
    <w:qFormat/>
    <w:rPr>
      <w:b/>
    </w:rPr>
  </w:style>
  <w:style w:type="character" w:styleId="ListLabel192" w:customStyle="1">
    <w:name w:val="ListLabel 192"/>
    <w:qFormat/>
    <w:rPr>
      <w:b w:val="false"/>
    </w:rPr>
  </w:style>
  <w:style w:type="character" w:styleId="ListLabel193" w:customStyle="1">
    <w:name w:val="ListLabel 193"/>
    <w:qFormat/>
    <w:rPr>
      <w:b w:val="false"/>
    </w:rPr>
  </w:style>
  <w:style w:type="character" w:styleId="ListLabel194" w:customStyle="1">
    <w:name w:val="ListLabel 194"/>
    <w:qFormat/>
    <w:rPr>
      <w:b w:val="false"/>
    </w:rPr>
  </w:style>
  <w:style w:type="character" w:styleId="ListLabel195" w:customStyle="1">
    <w:name w:val="ListLabel 195"/>
    <w:qFormat/>
    <w:rPr>
      <w:b w:val="false"/>
    </w:rPr>
  </w:style>
  <w:style w:type="character" w:styleId="ListLabel196" w:customStyle="1">
    <w:name w:val="ListLabel 196"/>
    <w:qFormat/>
    <w:rPr>
      <w:b w:val="false"/>
    </w:rPr>
  </w:style>
  <w:style w:type="character" w:styleId="ListLabel197" w:customStyle="1">
    <w:name w:val="ListLabel 197"/>
    <w:qFormat/>
    <w:rPr>
      <w:b w:val="false"/>
    </w:rPr>
  </w:style>
  <w:style w:type="character" w:styleId="ListLabel198" w:customStyle="1">
    <w:name w:val="ListLabel 198"/>
    <w:qFormat/>
    <w:rPr>
      <w:rFonts w:ascii="Times New Roman" w:hAnsi="Times New Roman" w:cs="Symbol"/>
      <w:sz w:val="24"/>
    </w:rPr>
  </w:style>
  <w:style w:type="character" w:styleId="ListLabel199" w:customStyle="1">
    <w:name w:val="ListLabel 199"/>
    <w:qFormat/>
    <w:rPr>
      <w:rFonts w:cs="Courier New"/>
    </w:rPr>
  </w:style>
  <w:style w:type="character" w:styleId="ListLabel200" w:customStyle="1">
    <w:name w:val="ListLabel 200"/>
    <w:qFormat/>
    <w:rPr>
      <w:rFonts w:cs="Wingdings"/>
    </w:rPr>
  </w:style>
  <w:style w:type="character" w:styleId="ListLabel201" w:customStyle="1">
    <w:name w:val="ListLabel 201"/>
    <w:qFormat/>
    <w:rPr>
      <w:rFonts w:cs="Symbol"/>
    </w:rPr>
  </w:style>
  <w:style w:type="character" w:styleId="ListLabel202" w:customStyle="1">
    <w:name w:val="ListLabel 202"/>
    <w:qFormat/>
    <w:rPr>
      <w:rFonts w:cs="Courier New"/>
    </w:rPr>
  </w:style>
  <w:style w:type="character" w:styleId="ListLabel203" w:customStyle="1">
    <w:name w:val="ListLabel 203"/>
    <w:qFormat/>
    <w:rPr>
      <w:rFonts w:cs="Wingdings"/>
    </w:rPr>
  </w:style>
  <w:style w:type="character" w:styleId="ListLabel204" w:customStyle="1">
    <w:name w:val="ListLabel 204"/>
    <w:qFormat/>
    <w:rPr>
      <w:rFonts w:cs="Symbol"/>
    </w:rPr>
  </w:style>
  <w:style w:type="character" w:styleId="ListLabel205" w:customStyle="1">
    <w:name w:val="ListLabel 205"/>
    <w:qFormat/>
    <w:rPr>
      <w:rFonts w:cs="Courier New"/>
    </w:rPr>
  </w:style>
  <w:style w:type="character" w:styleId="ListLabel206" w:customStyle="1">
    <w:name w:val="ListLabel 206"/>
    <w:qFormat/>
    <w:rPr>
      <w:rFonts w:cs="Wingdings"/>
    </w:rPr>
  </w:style>
  <w:style w:type="character" w:styleId="ListLabel207" w:customStyle="1">
    <w:name w:val="ListLabel 207"/>
    <w:qFormat/>
    <w:rPr>
      <w:b/>
      <w:sz w:val="28"/>
    </w:rPr>
  </w:style>
  <w:style w:type="character" w:styleId="ListLabel208" w:customStyle="1">
    <w:name w:val="ListLabel 208"/>
    <w:qFormat/>
    <w:rPr>
      <w:b/>
    </w:rPr>
  </w:style>
  <w:style w:type="character" w:styleId="ListLabel209" w:customStyle="1">
    <w:name w:val="ListLabel 209"/>
    <w:qFormat/>
    <w:rPr>
      <w:b/>
    </w:rPr>
  </w:style>
  <w:style w:type="character" w:styleId="ListLabel210" w:customStyle="1">
    <w:name w:val="ListLabel 210"/>
    <w:qFormat/>
    <w:rPr>
      <w:b w:val="false"/>
    </w:rPr>
  </w:style>
  <w:style w:type="character" w:styleId="ListLabel211" w:customStyle="1">
    <w:name w:val="ListLabel 211"/>
    <w:qFormat/>
    <w:rPr>
      <w:b w:val="false"/>
    </w:rPr>
  </w:style>
  <w:style w:type="character" w:styleId="ListLabel212" w:customStyle="1">
    <w:name w:val="ListLabel 212"/>
    <w:qFormat/>
    <w:rPr>
      <w:b w:val="false"/>
    </w:rPr>
  </w:style>
  <w:style w:type="character" w:styleId="ListLabel213" w:customStyle="1">
    <w:name w:val="ListLabel 213"/>
    <w:qFormat/>
    <w:rPr>
      <w:b w:val="false"/>
    </w:rPr>
  </w:style>
  <w:style w:type="character" w:styleId="ListLabel214" w:customStyle="1">
    <w:name w:val="ListLabel 214"/>
    <w:qFormat/>
    <w:rPr>
      <w:b w:val="false"/>
    </w:rPr>
  </w:style>
  <w:style w:type="character" w:styleId="ListLabel215" w:customStyle="1">
    <w:name w:val="ListLabel 215"/>
    <w:qFormat/>
    <w:rPr>
      <w:b w:val="false"/>
    </w:rPr>
  </w:style>
  <w:style w:type="character" w:styleId="ListLabel216" w:customStyle="1">
    <w:name w:val="ListLabel 216"/>
    <w:qFormat/>
    <w:rPr>
      <w:rFonts w:ascii="Times New Roman" w:hAnsi="Times New Roman" w:cs="Symbol"/>
      <w:sz w:val="24"/>
    </w:rPr>
  </w:style>
  <w:style w:type="character" w:styleId="ListLabel217" w:customStyle="1">
    <w:name w:val="ListLabel 217"/>
    <w:qFormat/>
    <w:rPr>
      <w:rFonts w:cs="Courier New"/>
    </w:rPr>
  </w:style>
  <w:style w:type="character" w:styleId="ListLabel218" w:customStyle="1">
    <w:name w:val="ListLabel 218"/>
    <w:qFormat/>
    <w:rPr>
      <w:rFonts w:cs="Wingdings"/>
    </w:rPr>
  </w:style>
  <w:style w:type="character" w:styleId="ListLabel219" w:customStyle="1">
    <w:name w:val="ListLabel 219"/>
    <w:qFormat/>
    <w:rPr>
      <w:rFonts w:cs="Symbol"/>
    </w:rPr>
  </w:style>
  <w:style w:type="character" w:styleId="ListLabel220" w:customStyle="1">
    <w:name w:val="ListLabel 220"/>
    <w:qFormat/>
    <w:rPr>
      <w:rFonts w:cs="Courier New"/>
    </w:rPr>
  </w:style>
  <w:style w:type="character" w:styleId="ListLabel221" w:customStyle="1">
    <w:name w:val="ListLabel 221"/>
    <w:qFormat/>
    <w:rPr>
      <w:rFonts w:cs="Wingdings"/>
    </w:rPr>
  </w:style>
  <w:style w:type="character" w:styleId="ListLabel222" w:customStyle="1">
    <w:name w:val="ListLabel 222"/>
    <w:qFormat/>
    <w:rPr>
      <w:rFonts w:cs="Symbol"/>
    </w:rPr>
  </w:style>
  <w:style w:type="character" w:styleId="ListLabel223" w:customStyle="1">
    <w:name w:val="ListLabel 223"/>
    <w:qFormat/>
    <w:rPr>
      <w:rFonts w:cs="Courier New"/>
    </w:rPr>
  </w:style>
  <w:style w:type="character" w:styleId="ListLabel224" w:customStyle="1">
    <w:name w:val="ListLabel 224"/>
    <w:qFormat/>
    <w:rPr>
      <w:rFonts w:cs="Wingdings"/>
    </w:rPr>
  </w:style>
  <w:style w:type="character" w:styleId="ListLabel225" w:customStyle="1">
    <w:name w:val="ListLabel 225"/>
    <w:qFormat/>
    <w:rPr>
      <w:b/>
      <w:sz w:val="28"/>
    </w:rPr>
  </w:style>
  <w:style w:type="character" w:styleId="ListLabel226" w:customStyle="1">
    <w:name w:val="ListLabel 226"/>
    <w:qFormat/>
    <w:rPr>
      <w:b/>
    </w:rPr>
  </w:style>
  <w:style w:type="character" w:styleId="ListLabel227" w:customStyle="1">
    <w:name w:val="ListLabel 227"/>
    <w:qFormat/>
    <w:rPr>
      <w:b/>
    </w:rPr>
  </w:style>
  <w:style w:type="character" w:styleId="ListLabel228" w:customStyle="1">
    <w:name w:val="ListLabel 228"/>
    <w:qFormat/>
    <w:rPr>
      <w:b w:val="false"/>
    </w:rPr>
  </w:style>
  <w:style w:type="character" w:styleId="ListLabel229" w:customStyle="1">
    <w:name w:val="ListLabel 229"/>
    <w:qFormat/>
    <w:rPr>
      <w:b w:val="false"/>
    </w:rPr>
  </w:style>
  <w:style w:type="character" w:styleId="ListLabel230" w:customStyle="1">
    <w:name w:val="ListLabel 230"/>
    <w:qFormat/>
    <w:rPr>
      <w:b w:val="false"/>
    </w:rPr>
  </w:style>
  <w:style w:type="character" w:styleId="ListLabel231" w:customStyle="1">
    <w:name w:val="ListLabel 231"/>
    <w:qFormat/>
    <w:rPr>
      <w:b w:val="false"/>
    </w:rPr>
  </w:style>
  <w:style w:type="character" w:styleId="ListLabel232" w:customStyle="1">
    <w:name w:val="ListLabel 232"/>
    <w:qFormat/>
    <w:rPr>
      <w:b w:val="false"/>
    </w:rPr>
  </w:style>
  <w:style w:type="character" w:styleId="ListLabel233" w:customStyle="1">
    <w:name w:val="ListLabel 233"/>
    <w:qFormat/>
    <w:rPr>
      <w:b w:val="false"/>
    </w:rPr>
  </w:style>
  <w:style w:type="character" w:styleId="ListLabel234" w:customStyle="1">
    <w:name w:val="ListLabel 234"/>
    <w:qFormat/>
    <w:rPr>
      <w:rFonts w:ascii="Times New Roman" w:hAnsi="Times New Roman" w:cs="Symbol"/>
      <w:sz w:val="24"/>
    </w:rPr>
  </w:style>
  <w:style w:type="character" w:styleId="ListLabel235" w:customStyle="1">
    <w:name w:val="ListLabel 235"/>
    <w:qFormat/>
    <w:rPr>
      <w:rFonts w:cs="Courier New"/>
    </w:rPr>
  </w:style>
  <w:style w:type="character" w:styleId="ListLabel236" w:customStyle="1">
    <w:name w:val="ListLabel 236"/>
    <w:qFormat/>
    <w:rPr>
      <w:rFonts w:cs="Wingdings"/>
    </w:rPr>
  </w:style>
  <w:style w:type="character" w:styleId="ListLabel237" w:customStyle="1">
    <w:name w:val="ListLabel 237"/>
    <w:qFormat/>
    <w:rPr>
      <w:rFonts w:cs="Symbol"/>
    </w:rPr>
  </w:style>
  <w:style w:type="character" w:styleId="ListLabel238" w:customStyle="1">
    <w:name w:val="ListLabel 238"/>
    <w:qFormat/>
    <w:rPr>
      <w:rFonts w:cs="Courier New"/>
    </w:rPr>
  </w:style>
  <w:style w:type="character" w:styleId="ListLabel239" w:customStyle="1">
    <w:name w:val="ListLabel 239"/>
    <w:qFormat/>
    <w:rPr>
      <w:rFonts w:cs="Wingdings"/>
    </w:rPr>
  </w:style>
  <w:style w:type="character" w:styleId="ListLabel240" w:customStyle="1">
    <w:name w:val="ListLabel 240"/>
    <w:qFormat/>
    <w:rPr>
      <w:rFonts w:cs="Symbol"/>
    </w:rPr>
  </w:style>
  <w:style w:type="character" w:styleId="ListLabel241" w:customStyle="1">
    <w:name w:val="ListLabel 241"/>
    <w:qFormat/>
    <w:rPr>
      <w:rFonts w:cs="Courier New"/>
    </w:rPr>
  </w:style>
  <w:style w:type="character" w:styleId="ListLabel242" w:customStyle="1">
    <w:name w:val="ListLabel 242"/>
    <w:qFormat/>
    <w:rPr>
      <w:rFonts w:cs="Wingdings"/>
    </w:rPr>
  </w:style>
  <w:style w:type="character" w:styleId="ListLabel243" w:customStyle="1">
    <w:name w:val="ListLabel 243"/>
    <w:qFormat/>
    <w:rPr>
      <w:b/>
      <w:sz w:val="28"/>
    </w:rPr>
  </w:style>
  <w:style w:type="character" w:styleId="ListLabel244" w:customStyle="1">
    <w:name w:val="ListLabel 244"/>
    <w:qFormat/>
    <w:rPr>
      <w:b/>
    </w:rPr>
  </w:style>
  <w:style w:type="character" w:styleId="ListLabel245" w:customStyle="1">
    <w:name w:val="ListLabel 245"/>
    <w:qFormat/>
    <w:rPr>
      <w:b/>
    </w:rPr>
  </w:style>
  <w:style w:type="character" w:styleId="ListLabel246" w:customStyle="1">
    <w:name w:val="ListLabel 246"/>
    <w:qFormat/>
    <w:rPr>
      <w:b w:val="false"/>
    </w:rPr>
  </w:style>
  <w:style w:type="character" w:styleId="ListLabel247" w:customStyle="1">
    <w:name w:val="ListLabel 247"/>
    <w:qFormat/>
    <w:rPr>
      <w:b w:val="false"/>
    </w:rPr>
  </w:style>
  <w:style w:type="character" w:styleId="ListLabel248" w:customStyle="1">
    <w:name w:val="ListLabel 248"/>
    <w:qFormat/>
    <w:rPr>
      <w:b w:val="false"/>
    </w:rPr>
  </w:style>
  <w:style w:type="character" w:styleId="ListLabel249" w:customStyle="1">
    <w:name w:val="ListLabel 249"/>
    <w:qFormat/>
    <w:rPr>
      <w:b w:val="false"/>
    </w:rPr>
  </w:style>
  <w:style w:type="character" w:styleId="ListLabel250" w:customStyle="1">
    <w:name w:val="ListLabel 250"/>
    <w:qFormat/>
    <w:rPr>
      <w:b w:val="false"/>
    </w:rPr>
  </w:style>
  <w:style w:type="character" w:styleId="ListLabel251" w:customStyle="1">
    <w:name w:val="ListLabel 251"/>
    <w:qFormat/>
    <w:rPr>
      <w:b w:val="false"/>
    </w:rPr>
  </w:style>
  <w:style w:type="character" w:styleId="ListLabel252" w:customStyle="1">
    <w:name w:val="ListLabel 252"/>
    <w:qFormat/>
    <w:rPr>
      <w:rFonts w:ascii="Times New Roman" w:hAnsi="Times New Roman" w:cs="Symbol"/>
      <w:sz w:val="24"/>
    </w:rPr>
  </w:style>
  <w:style w:type="character" w:styleId="ListLabel253" w:customStyle="1">
    <w:name w:val="ListLabel 253"/>
    <w:qFormat/>
    <w:rPr>
      <w:rFonts w:cs="Courier New"/>
    </w:rPr>
  </w:style>
  <w:style w:type="character" w:styleId="ListLabel254" w:customStyle="1">
    <w:name w:val="ListLabel 254"/>
    <w:qFormat/>
    <w:rPr>
      <w:rFonts w:cs="Wingdings"/>
    </w:rPr>
  </w:style>
  <w:style w:type="character" w:styleId="ListLabel255" w:customStyle="1">
    <w:name w:val="ListLabel 255"/>
    <w:qFormat/>
    <w:rPr>
      <w:rFonts w:cs="Symbol"/>
    </w:rPr>
  </w:style>
  <w:style w:type="character" w:styleId="ListLabel256" w:customStyle="1">
    <w:name w:val="ListLabel 256"/>
    <w:qFormat/>
    <w:rPr>
      <w:rFonts w:cs="Courier New"/>
    </w:rPr>
  </w:style>
  <w:style w:type="character" w:styleId="ListLabel257" w:customStyle="1">
    <w:name w:val="ListLabel 257"/>
    <w:qFormat/>
    <w:rPr>
      <w:rFonts w:cs="Wingdings"/>
    </w:rPr>
  </w:style>
  <w:style w:type="character" w:styleId="ListLabel258" w:customStyle="1">
    <w:name w:val="ListLabel 258"/>
    <w:qFormat/>
    <w:rPr>
      <w:rFonts w:cs="Symbol"/>
    </w:rPr>
  </w:style>
  <w:style w:type="character" w:styleId="ListLabel259" w:customStyle="1">
    <w:name w:val="ListLabel 259"/>
    <w:qFormat/>
    <w:rPr>
      <w:rFonts w:cs="Courier New"/>
    </w:rPr>
  </w:style>
  <w:style w:type="character" w:styleId="ListLabel260" w:customStyle="1">
    <w:name w:val="ListLabel 260"/>
    <w:qFormat/>
    <w:rPr>
      <w:rFonts w:cs="Wingdings"/>
    </w:rPr>
  </w:style>
  <w:style w:type="character" w:styleId="ListLabel261" w:customStyle="1">
    <w:name w:val="ListLabel 261"/>
    <w:qFormat/>
    <w:rPr>
      <w:b/>
      <w:sz w:val="28"/>
    </w:rPr>
  </w:style>
  <w:style w:type="character" w:styleId="ListLabel262" w:customStyle="1">
    <w:name w:val="ListLabel 262"/>
    <w:qFormat/>
    <w:rPr>
      <w:b/>
    </w:rPr>
  </w:style>
  <w:style w:type="character" w:styleId="ListLabel263" w:customStyle="1">
    <w:name w:val="ListLabel 263"/>
    <w:qFormat/>
    <w:rPr>
      <w:b/>
    </w:rPr>
  </w:style>
  <w:style w:type="character" w:styleId="ListLabel264" w:customStyle="1">
    <w:name w:val="ListLabel 264"/>
    <w:qFormat/>
    <w:rPr>
      <w:b w:val="false"/>
    </w:rPr>
  </w:style>
  <w:style w:type="character" w:styleId="ListLabel265" w:customStyle="1">
    <w:name w:val="ListLabel 265"/>
    <w:qFormat/>
    <w:rPr>
      <w:b w:val="false"/>
    </w:rPr>
  </w:style>
  <w:style w:type="character" w:styleId="ListLabel266" w:customStyle="1">
    <w:name w:val="ListLabel 266"/>
    <w:qFormat/>
    <w:rPr>
      <w:b w:val="false"/>
    </w:rPr>
  </w:style>
  <w:style w:type="character" w:styleId="ListLabel267" w:customStyle="1">
    <w:name w:val="ListLabel 267"/>
    <w:qFormat/>
    <w:rPr>
      <w:b w:val="false"/>
    </w:rPr>
  </w:style>
  <w:style w:type="character" w:styleId="ListLabel268" w:customStyle="1">
    <w:name w:val="ListLabel 268"/>
    <w:qFormat/>
    <w:rPr>
      <w:b w:val="false"/>
    </w:rPr>
  </w:style>
  <w:style w:type="character" w:styleId="ListLabel269" w:customStyle="1">
    <w:name w:val="ListLabel 269"/>
    <w:qFormat/>
    <w:rPr>
      <w:b w:val="false"/>
    </w:rPr>
  </w:style>
  <w:style w:type="character" w:styleId="ListLabel270" w:customStyle="1">
    <w:name w:val="ListLabel 270"/>
    <w:qFormat/>
    <w:rPr>
      <w:rFonts w:ascii="Times New Roman" w:hAnsi="Times New Roman" w:cs="Symbol"/>
      <w:sz w:val="24"/>
    </w:rPr>
  </w:style>
  <w:style w:type="character" w:styleId="ListLabel271" w:customStyle="1">
    <w:name w:val="ListLabel 271"/>
    <w:qFormat/>
    <w:rPr>
      <w:rFonts w:cs="Courier New"/>
    </w:rPr>
  </w:style>
  <w:style w:type="character" w:styleId="ListLabel272" w:customStyle="1">
    <w:name w:val="ListLabel 272"/>
    <w:qFormat/>
    <w:rPr>
      <w:rFonts w:cs="Wingdings"/>
    </w:rPr>
  </w:style>
  <w:style w:type="character" w:styleId="ListLabel273" w:customStyle="1">
    <w:name w:val="ListLabel 273"/>
    <w:qFormat/>
    <w:rPr>
      <w:rFonts w:cs="Symbol"/>
    </w:rPr>
  </w:style>
  <w:style w:type="character" w:styleId="ListLabel274" w:customStyle="1">
    <w:name w:val="ListLabel 274"/>
    <w:qFormat/>
    <w:rPr>
      <w:rFonts w:cs="Courier New"/>
    </w:rPr>
  </w:style>
  <w:style w:type="character" w:styleId="ListLabel275" w:customStyle="1">
    <w:name w:val="ListLabel 275"/>
    <w:qFormat/>
    <w:rPr>
      <w:rFonts w:cs="Wingdings"/>
    </w:rPr>
  </w:style>
  <w:style w:type="character" w:styleId="ListLabel276" w:customStyle="1">
    <w:name w:val="ListLabel 276"/>
    <w:qFormat/>
    <w:rPr>
      <w:rFonts w:cs="Symbol"/>
    </w:rPr>
  </w:style>
  <w:style w:type="character" w:styleId="ListLabel277" w:customStyle="1">
    <w:name w:val="ListLabel 277"/>
    <w:qFormat/>
    <w:rPr>
      <w:rFonts w:cs="Courier New"/>
    </w:rPr>
  </w:style>
  <w:style w:type="character" w:styleId="ListLabel278" w:customStyle="1">
    <w:name w:val="ListLabel 278"/>
    <w:qFormat/>
    <w:rPr>
      <w:rFonts w:cs="Wingdings"/>
    </w:rPr>
  </w:style>
  <w:style w:type="character" w:styleId="ListLabel279" w:customStyle="1">
    <w:name w:val="ListLabel 279"/>
    <w:qFormat/>
    <w:rPr>
      <w:b/>
      <w:sz w:val="28"/>
    </w:rPr>
  </w:style>
  <w:style w:type="character" w:styleId="ListLabel280" w:customStyle="1">
    <w:name w:val="ListLabel 280"/>
    <w:qFormat/>
    <w:rPr>
      <w:b/>
    </w:rPr>
  </w:style>
  <w:style w:type="character" w:styleId="ListLabel281" w:customStyle="1">
    <w:name w:val="ListLabel 281"/>
    <w:qFormat/>
    <w:rPr>
      <w:b/>
    </w:rPr>
  </w:style>
  <w:style w:type="character" w:styleId="ListLabel282" w:customStyle="1">
    <w:name w:val="ListLabel 282"/>
    <w:qFormat/>
    <w:rPr>
      <w:b w:val="false"/>
    </w:rPr>
  </w:style>
  <w:style w:type="character" w:styleId="ListLabel283" w:customStyle="1">
    <w:name w:val="ListLabel 283"/>
    <w:qFormat/>
    <w:rPr>
      <w:b w:val="false"/>
    </w:rPr>
  </w:style>
  <w:style w:type="character" w:styleId="ListLabel284" w:customStyle="1">
    <w:name w:val="ListLabel 284"/>
    <w:qFormat/>
    <w:rPr>
      <w:b w:val="false"/>
    </w:rPr>
  </w:style>
  <w:style w:type="character" w:styleId="ListLabel285" w:customStyle="1">
    <w:name w:val="ListLabel 285"/>
    <w:qFormat/>
    <w:rPr>
      <w:b w:val="false"/>
    </w:rPr>
  </w:style>
  <w:style w:type="character" w:styleId="ListLabel286" w:customStyle="1">
    <w:name w:val="ListLabel 286"/>
    <w:qFormat/>
    <w:rPr>
      <w:b w:val="false"/>
    </w:rPr>
  </w:style>
  <w:style w:type="character" w:styleId="ListLabel287" w:customStyle="1">
    <w:name w:val="ListLabel 287"/>
    <w:qFormat/>
    <w:rPr>
      <w:b w:val="false"/>
    </w:rPr>
  </w:style>
  <w:style w:type="character" w:styleId="ListLabel288" w:customStyle="1">
    <w:name w:val="ListLabel 288"/>
    <w:qFormat/>
    <w:rPr>
      <w:rFonts w:ascii="Times New Roman" w:hAnsi="Times New Roman" w:cs="Symbol"/>
      <w:sz w:val="24"/>
    </w:rPr>
  </w:style>
  <w:style w:type="character" w:styleId="ListLabel289" w:customStyle="1">
    <w:name w:val="ListLabel 289"/>
    <w:qFormat/>
    <w:rPr>
      <w:rFonts w:cs="Courier New"/>
    </w:rPr>
  </w:style>
  <w:style w:type="character" w:styleId="ListLabel290" w:customStyle="1">
    <w:name w:val="ListLabel 290"/>
    <w:qFormat/>
    <w:rPr>
      <w:rFonts w:cs="Wingdings"/>
    </w:rPr>
  </w:style>
  <w:style w:type="character" w:styleId="ListLabel291" w:customStyle="1">
    <w:name w:val="ListLabel 291"/>
    <w:qFormat/>
    <w:rPr>
      <w:rFonts w:cs="Symbol"/>
    </w:rPr>
  </w:style>
  <w:style w:type="character" w:styleId="ListLabel292" w:customStyle="1">
    <w:name w:val="ListLabel 292"/>
    <w:qFormat/>
    <w:rPr>
      <w:rFonts w:cs="Courier New"/>
    </w:rPr>
  </w:style>
  <w:style w:type="character" w:styleId="ListLabel293" w:customStyle="1">
    <w:name w:val="ListLabel 293"/>
    <w:qFormat/>
    <w:rPr>
      <w:rFonts w:cs="Wingdings"/>
    </w:rPr>
  </w:style>
  <w:style w:type="character" w:styleId="ListLabel294" w:customStyle="1">
    <w:name w:val="ListLabel 294"/>
    <w:qFormat/>
    <w:rPr>
      <w:rFonts w:cs="Symbol"/>
    </w:rPr>
  </w:style>
  <w:style w:type="character" w:styleId="ListLabel295" w:customStyle="1">
    <w:name w:val="ListLabel 295"/>
    <w:qFormat/>
    <w:rPr>
      <w:rFonts w:cs="Courier New"/>
    </w:rPr>
  </w:style>
  <w:style w:type="character" w:styleId="ListLabel296" w:customStyle="1">
    <w:name w:val="ListLabel 296"/>
    <w:qFormat/>
    <w:rPr>
      <w:rFonts w:cs="Wingdings"/>
    </w:rPr>
  </w:style>
  <w:style w:type="character" w:styleId="ListLabel297" w:customStyle="1">
    <w:name w:val="ListLabel 297"/>
    <w:qFormat/>
    <w:rPr>
      <w:b/>
      <w:sz w:val="28"/>
    </w:rPr>
  </w:style>
  <w:style w:type="character" w:styleId="ListLabel298" w:customStyle="1">
    <w:name w:val="ListLabel 298"/>
    <w:qFormat/>
    <w:rPr>
      <w:b/>
    </w:rPr>
  </w:style>
  <w:style w:type="character" w:styleId="ListLabel299" w:customStyle="1">
    <w:name w:val="ListLabel 299"/>
    <w:qFormat/>
    <w:rPr>
      <w:b/>
    </w:rPr>
  </w:style>
  <w:style w:type="character" w:styleId="ListLabel300" w:customStyle="1">
    <w:name w:val="ListLabel 300"/>
    <w:qFormat/>
    <w:rPr>
      <w:b w:val="false"/>
    </w:rPr>
  </w:style>
  <w:style w:type="character" w:styleId="ListLabel301" w:customStyle="1">
    <w:name w:val="ListLabel 301"/>
    <w:qFormat/>
    <w:rPr>
      <w:b w:val="false"/>
    </w:rPr>
  </w:style>
  <w:style w:type="character" w:styleId="ListLabel302" w:customStyle="1">
    <w:name w:val="ListLabel 302"/>
    <w:qFormat/>
    <w:rPr>
      <w:b w:val="false"/>
    </w:rPr>
  </w:style>
  <w:style w:type="character" w:styleId="ListLabel303" w:customStyle="1">
    <w:name w:val="ListLabel 303"/>
    <w:qFormat/>
    <w:rPr>
      <w:b w:val="false"/>
    </w:rPr>
  </w:style>
  <w:style w:type="character" w:styleId="ListLabel304" w:customStyle="1">
    <w:name w:val="ListLabel 304"/>
    <w:qFormat/>
    <w:rPr>
      <w:b w:val="false"/>
    </w:rPr>
  </w:style>
  <w:style w:type="character" w:styleId="ListLabel305" w:customStyle="1">
    <w:name w:val="ListLabel 305"/>
    <w:qFormat/>
    <w:rPr>
      <w:b w:val="false"/>
    </w:rPr>
  </w:style>
  <w:style w:type="character" w:styleId="ListLabel306" w:customStyle="1">
    <w:name w:val="ListLabel 306"/>
    <w:qFormat/>
    <w:rPr>
      <w:rFonts w:ascii="Times New Roman" w:hAnsi="Times New Roman" w:cs="Symbol"/>
      <w:sz w:val="24"/>
    </w:rPr>
  </w:style>
  <w:style w:type="character" w:styleId="ListLabel307" w:customStyle="1">
    <w:name w:val="ListLabel 307"/>
    <w:qFormat/>
    <w:rPr>
      <w:rFonts w:cs="Courier New"/>
    </w:rPr>
  </w:style>
  <w:style w:type="character" w:styleId="ListLabel308" w:customStyle="1">
    <w:name w:val="ListLabel 308"/>
    <w:qFormat/>
    <w:rPr>
      <w:rFonts w:cs="Wingdings"/>
    </w:rPr>
  </w:style>
  <w:style w:type="character" w:styleId="ListLabel309" w:customStyle="1">
    <w:name w:val="ListLabel 309"/>
    <w:qFormat/>
    <w:rPr>
      <w:rFonts w:cs="Symbol"/>
    </w:rPr>
  </w:style>
  <w:style w:type="character" w:styleId="ListLabel310" w:customStyle="1">
    <w:name w:val="ListLabel 310"/>
    <w:qFormat/>
    <w:rPr>
      <w:rFonts w:cs="Courier New"/>
    </w:rPr>
  </w:style>
  <w:style w:type="character" w:styleId="ListLabel311" w:customStyle="1">
    <w:name w:val="ListLabel 311"/>
    <w:qFormat/>
    <w:rPr>
      <w:rFonts w:cs="Wingdings"/>
    </w:rPr>
  </w:style>
  <w:style w:type="character" w:styleId="ListLabel312" w:customStyle="1">
    <w:name w:val="ListLabel 312"/>
    <w:qFormat/>
    <w:rPr>
      <w:rFonts w:cs="Symbol"/>
    </w:rPr>
  </w:style>
  <w:style w:type="character" w:styleId="ListLabel313" w:customStyle="1">
    <w:name w:val="ListLabel 313"/>
    <w:qFormat/>
    <w:rPr>
      <w:rFonts w:cs="Courier New"/>
    </w:rPr>
  </w:style>
  <w:style w:type="character" w:styleId="ListLabel314" w:customStyle="1">
    <w:name w:val="ListLabel 314"/>
    <w:qFormat/>
    <w:rPr>
      <w:rFonts w:cs="Wingdings"/>
    </w:rPr>
  </w:style>
  <w:style w:type="character" w:styleId="ListLabel315" w:customStyle="1">
    <w:name w:val="ListLabel 315"/>
    <w:qFormat/>
    <w:rPr>
      <w:b/>
      <w:sz w:val="28"/>
    </w:rPr>
  </w:style>
  <w:style w:type="character" w:styleId="ListLabel316" w:customStyle="1">
    <w:name w:val="ListLabel 316"/>
    <w:qFormat/>
    <w:rPr>
      <w:b/>
    </w:rPr>
  </w:style>
  <w:style w:type="character" w:styleId="ListLabel317" w:customStyle="1">
    <w:name w:val="ListLabel 317"/>
    <w:qFormat/>
    <w:rPr>
      <w:b/>
    </w:rPr>
  </w:style>
  <w:style w:type="character" w:styleId="ListLabel318" w:customStyle="1">
    <w:name w:val="ListLabel 318"/>
    <w:qFormat/>
    <w:rPr>
      <w:b w:val="false"/>
    </w:rPr>
  </w:style>
  <w:style w:type="character" w:styleId="ListLabel319" w:customStyle="1">
    <w:name w:val="ListLabel 319"/>
    <w:qFormat/>
    <w:rPr>
      <w:b w:val="false"/>
    </w:rPr>
  </w:style>
  <w:style w:type="character" w:styleId="ListLabel320" w:customStyle="1">
    <w:name w:val="ListLabel 320"/>
    <w:qFormat/>
    <w:rPr>
      <w:b w:val="false"/>
    </w:rPr>
  </w:style>
  <w:style w:type="character" w:styleId="ListLabel321" w:customStyle="1">
    <w:name w:val="ListLabel 321"/>
    <w:qFormat/>
    <w:rPr>
      <w:b w:val="false"/>
    </w:rPr>
  </w:style>
  <w:style w:type="character" w:styleId="ListLabel322" w:customStyle="1">
    <w:name w:val="ListLabel 322"/>
    <w:qFormat/>
    <w:rPr>
      <w:b w:val="false"/>
    </w:rPr>
  </w:style>
  <w:style w:type="character" w:styleId="ListLabel323" w:customStyle="1">
    <w:name w:val="ListLabel 323"/>
    <w:qFormat/>
    <w:rPr>
      <w:b w:val="false"/>
    </w:rPr>
  </w:style>
  <w:style w:type="character" w:styleId="ListLabel324" w:customStyle="1">
    <w:name w:val="ListLabel 324"/>
    <w:qFormat/>
    <w:rPr>
      <w:rFonts w:ascii="Times New Roman" w:hAnsi="Times New Roman" w:cs="Symbol"/>
      <w:sz w:val="24"/>
    </w:rPr>
  </w:style>
  <w:style w:type="character" w:styleId="ListLabel325" w:customStyle="1">
    <w:name w:val="ListLabel 325"/>
    <w:qFormat/>
    <w:rPr>
      <w:rFonts w:cs="Courier New"/>
    </w:rPr>
  </w:style>
  <w:style w:type="character" w:styleId="ListLabel326" w:customStyle="1">
    <w:name w:val="ListLabel 326"/>
    <w:qFormat/>
    <w:rPr>
      <w:rFonts w:cs="Wingdings"/>
    </w:rPr>
  </w:style>
  <w:style w:type="character" w:styleId="ListLabel327" w:customStyle="1">
    <w:name w:val="ListLabel 327"/>
    <w:qFormat/>
    <w:rPr>
      <w:rFonts w:cs="Symbol"/>
    </w:rPr>
  </w:style>
  <w:style w:type="character" w:styleId="ListLabel328" w:customStyle="1">
    <w:name w:val="ListLabel 328"/>
    <w:qFormat/>
    <w:rPr>
      <w:rFonts w:cs="Courier New"/>
    </w:rPr>
  </w:style>
  <w:style w:type="character" w:styleId="ListLabel329" w:customStyle="1">
    <w:name w:val="ListLabel 329"/>
    <w:qFormat/>
    <w:rPr>
      <w:rFonts w:cs="Wingdings"/>
    </w:rPr>
  </w:style>
  <w:style w:type="character" w:styleId="ListLabel330" w:customStyle="1">
    <w:name w:val="ListLabel 330"/>
    <w:qFormat/>
    <w:rPr>
      <w:rFonts w:cs="Symbol"/>
    </w:rPr>
  </w:style>
  <w:style w:type="character" w:styleId="ListLabel331" w:customStyle="1">
    <w:name w:val="ListLabel 331"/>
    <w:qFormat/>
    <w:rPr>
      <w:rFonts w:cs="Courier New"/>
    </w:rPr>
  </w:style>
  <w:style w:type="character" w:styleId="ListLabel332" w:customStyle="1">
    <w:name w:val="ListLabel 332"/>
    <w:qFormat/>
    <w:rPr>
      <w:rFonts w:cs="Wingdings"/>
    </w:rPr>
  </w:style>
  <w:style w:type="character" w:styleId="ListLabel333" w:customStyle="1">
    <w:name w:val="ListLabel 333"/>
    <w:qFormat/>
    <w:rPr>
      <w:b/>
      <w:sz w:val="28"/>
    </w:rPr>
  </w:style>
  <w:style w:type="character" w:styleId="ListLabel334" w:customStyle="1">
    <w:name w:val="ListLabel 334"/>
    <w:qFormat/>
    <w:rPr>
      <w:b/>
    </w:rPr>
  </w:style>
  <w:style w:type="character" w:styleId="ListLabel335" w:customStyle="1">
    <w:name w:val="ListLabel 335"/>
    <w:qFormat/>
    <w:rPr>
      <w:b/>
    </w:rPr>
  </w:style>
  <w:style w:type="character" w:styleId="ListLabel336" w:customStyle="1">
    <w:name w:val="ListLabel 336"/>
    <w:qFormat/>
    <w:rPr>
      <w:b w:val="false"/>
    </w:rPr>
  </w:style>
  <w:style w:type="character" w:styleId="ListLabel337" w:customStyle="1">
    <w:name w:val="ListLabel 337"/>
    <w:qFormat/>
    <w:rPr>
      <w:b w:val="false"/>
    </w:rPr>
  </w:style>
  <w:style w:type="character" w:styleId="ListLabel338" w:customStyle="1">
    <w:name w:val="ListLabel 338"/>
    <w:qFormat/>
    <w:rPr>
      <w:b w:val="false"/>
    </w:rPr>
  </w:style>
  <w:style w:type="character" w:styleId="ListLabel339" w:customStyle="1">
    <w:name w:val="ListLabel 339"/>
    <w:qFormat/>
    <w:rPr>
      <w:b w:val="false"/>
    </w:rPr>
  </w:style>
  <w:style w:type="character" w:styleId="ListLabel340" w:customStyle="1">
    <w:name w:val="ListLabel 340"/>
    <w:qFormat/>
    <w:rPr>
      <w:b w:val="false"/>
    </w:rPr>
  </w:style>
  <w:style w:type="character" w:styleId="ListLabel341" w:customStyle="1">
    <w:name w:val="ListLabel 341"/>
    <w:qFormat/>
    <w:rPr>
      <w:b w:val="false"/>
    </w:rPr>
  </w:style>
  <w:style w:type="character" w:styleId="ListLabel342" w:customStyle="1">
    <w:name w:val="ListLabel 342"/>
    <w:qFormat/>
    <w:rPr>
      <w:rFonts w:ascii="Times New Roman" w:hAnsi="Times New Roman" w:cs="Symbol"/>
      <w:sz w:val="24"/>
    </w:rPr>
  </w:style>
  <w:style w:type="character" w:styleId="ListLabel343" w:customStyle="1">
    <w:name w:val="ListLabel 343"/>
    <w:qFormat/>
    <w:rPr>
      <w:rFonts w:cs="Courier New"/>
    </w:rPr>
  </w:style>
  <w:style w:type="character" w:styleId="ListLabel344" w:customStyle="1">
    <w:name w:val="ListLabel 344"/>
    <w:qFormat/>
    <w:rPr>
      <w:rFonts w:cs="Wingdings"/>
    </w:rPr>
  </w:style>
  <w:style w:type="character" w:styleId="ListLabel345" w:customStyle="1">
    <w:name w:val="ListLabel 345"/>
    <w:qFormat/>
    <w:rPr>
      <w:rFonts w:cs="Symbol"/>
    </w:rPr>
  </w:style>
  <w:style w:type="character" w:styleId="ListLabel346" w:customStyle="1">
    <w:name w:val="ListLabel 346"/>
    <w:qFormat/>
    <w:rPr>
      <w:rFonts w:cs="Courier New"/>
    </w:rPr>
  </w:style>
  <w:style w:type="character" w:styleId="ListLabel347" w:customStyle="1">
    <w:name w:val="ListLabel 347"/>
    <w:qFormat/>
    <w:rPr>
      <w:rFonts w:cs="Wingdings"/>
    </w:rPr>
  </w:style>
  <w:style w:type="character" w:styleId="ListLabel348" w:customStyle="1">
    <w:name w:val="ListLabel 348"/>
    <w:qFormat/>
    <w:rPr>
      <w:rFonts w:cs="Symbol"/>
    </w:rPr>
  </w:style>
  <w:style w:type="character" w:styleId="ListLabel349" w:customStyle="1">
    <w:name w:val="ListLabel 349"/>
    <w:qFormat/>
    <w:rPr>
      <w:rFonts w:cs="Courier New"/>
    </w:rPr>
  </w:style>
  <w:style w:type="character" w:styleId="ListLabel350" w:customStyle="1">
    <w:name w:val="ListLabel 350"/>
    <w:qFormat/>
    <w:rPr>
      <w:rFonts w:cs="Wingdings"/>
    </w:rPr>
  </w:style>
  <w:style w:type="character" w:styleId="ListLabel351" w:customStyle="1">
    <w:name w:val="ListLabel 351"/>
    <w:qFormat/>
    <w:rPr>
      <w:b/>
      <w:sz w:val="28"/>
    </w:rPr>
  </w:style>
  <w:style w:type="character" w:styleId="ListLabel352" w:customStyle="1">
    <w:name w:val="ListLabel 352"/>
    <w:qFormat/>
    <w:rPr>
      <w:b/>
    </w:rPr>
  </w:style>
  <w:style w:type="character" w:styleId="ListLabel353" w:customStyle="1">
    <w:name w:val="ListLabel 353"/>
    <w:qFormat/>
    <w:rPr>
      <w:b/>
    </w:rPr>
  </w:style>
  <w:style w:type="character" w:styleId="ListLabel354" w:customStyle="1">
    <w:name w:val="ListLabel 354"/>
    <w:qFormat/>
    <w:rPr>
      <w:b w:val="false"/>
    </w:rPr>
  </w:style>
  <w:style w:type="character" w:styleId="ListLabel355" w:customStyle="1">
    <w:name w:val="ListLabel 355"/>
    <w:qFormat/>
    <w:rPr>
      <w:b w:val="false"/>
    </w:rPr>
  </w:style>
  <w:style w:type="character" w:styleId="ListLabel356" w:customStyle="1">
    <w:name w:val="ListLabel 356"/>
    <w:qFormat/>
    <w:rPr>
      <w:b w:val="false"/>
    </w:rPr>
  </w:style>
  <w:style w:type="character" w:styleId="ListLabel357" w:customStyle="1">
    <w:name w:val="ListLabel 357"/>
    <w:qFormat/>
    <w:rPr>
      <w:b w:val="false"/>
    </w:rPr>
  </w:style>
  <w:style w:type="character" w:styleId="ListLabel358" w:customStyle="1">
    <w:name w:val="ListLabel 358"/>
    <w:qFormat/>
    <w:rPr>
      <w:b w:val="false"/>
    </w:rPr>
  </w:style>
  <w:style w:type="character" w:styleId="ListLabel359" w:customStyle="1">
    <w:name w:val="ListLabel 359"/>
    <w:qFormat/>
    <w:rPr>
      <w:b w:val="false"/>
    </w:rPr>
  </w:style>
  <w:style w:type="character" w:styleId="ListLabel360" w:customStyle="1">
    <w:name w:val="ListLabel 360"/>
    <w:qFormat/>
    <w:rPr>
      <w:rFonts w:ascii="Times New Roman" w:hAnsi="Times New Roman" w:cs="Symbol"/>
      <w:sz w:val="24"/>
    </w:rPr>
  </w:style>
  <w:style w:type="character" w:styleId="ListLabel361" w:customStyle="1">
    <w:name w:val="ListLabel 361"/>
    <w:qFormat/>
    <w:rPr>
      <w:rFonts w:cs="Courier New"/>
    </w:rPr>
  </w:style>
  <w:style w:type="character" w:styleId="ListLabel362" w:customStyle="1">
    <w:name w:val="ListLabel 362"/>
    <w:qFormat/>
    <w:rPr>
      <w:rFonts w:cs="Wingdings"/>
    </w:rPr>
  </w:style>
  <w:style w:type="character" w:styleId="ListLabel363" w:customStyle="1">
    <w:name w:val="ListLabel 363"/>
    <w:qFormat/>
    <w:rPr>
      <w:rFonts w:cs="Symbol"/>
    </w:rPr>
  </w:style>
  <w:style w:type="character" w:styleId="ListLabel364" w:customStyle="1">
    <w:name w:val="ListLabel 364"/>
    <w:qFormat/>
    <w:rPr>
      <w:rFonts w:cs="Courier New"/>
    </w:rPr>
  </w:style>
  <w:style w:type="character" w:styleId="ListLabel365" w:customStyle="1">
    <w:name w:val="ListLabel 365"/>
    <w:qFormat/>
    <w:rPr>
      <w:rFonts w:cs="Wingdings"/>
    </w:rPr>
  </w:style>
  <w:style w:type="character" w:styleId="ListLabel366" w:customStyle="1">
    <w:name w:val="ListLabel 366"/>
    <w:qFormat/>
    <w:rPr>
      <w:rFonts w:cs="Symbol"/>
    </w:rPr>
  </w:style>
  <w:style w:type="character" w:styleId="ListLabel367" w:customStyle="1">
    <w:name w:val="ListLabel 367"/>
    <w:qFormat/>
    <w:rPr>
      <w:rFonts w:cs="Courier New"/>
    </w:rPr>
  </w:style>
  <w:style w:type="character" w:styleId="ListLabel368" w:customStyle="1">
    <w:name w:val="ListLabel 368"/>
    <w:qFormat/>
    <w:rPr>
      <w:rFonts w:cs="Wingdings"/>
    </w:rPr>
  </w:style>
  <w:style w:type="character" w:styleId="ListLabel369" w:customStyle="1">
    <w:name w:val="ListLabel 369"/>
    <w:qFormat/>
    <w:rPr>
      <w:b/>
      <w:sz w:val="28"/>
    </w:rPr>
  </w:style>
  <w:style w:type="character" w:styleId="ListLabel370" w:customStyle="1">
    <w:name w:val="ListLabel 370"/>
    <w:qFormat/>
    <w:rPr>
      <w:b/>
    </w:rPr>
  </w:style>
  <w:style w:type="character" w:styleId="ListLabel371" w:customStyle="1">
    <w:name w:val="ListLabel 371"/>
    <w:qFormat/>
    <w:rPr>
      <w:b/>
    </w:rPr>
  </w:style>
  <w:style w:type="character" w:styleId="ListLabel372" w:customStyle="1">
    <w:name w:val="ListLabel 372"/>
    <w:qFormat/>
    <w:rPr>
      <w:b w:val="false"/>
    </w:rPr>
  </w:style>
  <w:style w:type="character" w:styleId="ListLabel373" w:customStyle="1">
    <w:name w:val="ListLabel 373"/>
    <w:qFormat/>
    <w:rPr>
      <w:b w:val="false"/>
    </w:rPr>
  </w:style>
  <w:style w:type="character" w:styleId="ListLabel374" w:customStyle="1">
    <w:name w:val="ListLabel 374"/>
    <w:qFormat/>
    <w:rPr>
      <w:b w:val="false"/>
    </w:rPr>
  </w:style>
  <w:style w:type="character" w:styleId="ListLabel375" w:customStyle="1">
    <w:name w:val="ListLabel 375"/>
    <w:qFormat/>
    <w:rPr>
      <w:b w:val="false"/>
    </w:rPr>
  </w:style>
  <w:style w:type="character" w:styleId="ListLabel376" w:customStyle="1">
    <w:name w:val="ListLabel 376"/>
    <w:qFormat/>
    <w:rPr>
      <w:b w:val="false"/>
    </w:rPr>
  </w:style>
  <w:style w:type="character" w:styleId="ListLabel377" w:customStyle="1">
    <w:name w:val="ListLabel 377"/>
    <w:qFormat/>
    <w:rPr>
      <w:b w:val="false"/>
    </w:rPr>
  </w:style>
  <w:style w:type="character" w:styleId="ListLabel378" w:customStyle="1">
    <w:name w:val="ListLabel 378"/>
    <w:qFormat/>
    <w:rPr>
      <w:rFonts w:ascii="Times New Roman" w:hAnsi="Times New Roman" w:cs="Symbol"/>
      <w:sz w:val="24"/>
    </w:rPr>
  </w:style>
  <w:style w:type="character" w:styleId="ListLabel379" w:customStyle="1">
    <w:name w:val="ListLabel 379"/>
    <w:qFormat/>
    <w:rPr>
      <w:rFonts w:cs="Courier New"/>
    </w:rPr>
  </w:style>
  <w:style w:type="character" w:styleId="ListLabel380" w:customStyle="1">
    <w:name w:val="ListLabel 380"/>
    <w:qFormat/>
    <w:rPr>
      <w:rFonts w:cs="Wingdings"/>
    </w:rPr>
  </w:style>
  <w:style w:type="character" w:styleId="ListLabel381" w:customStyle="1">
    <w:name w:val="ListLabel 381"/>
    <w:qFormat/>
    <w:rPr>
      <w:rFonts w:cs="Symbol"/>
    </w:rPr>
  </w:style>
  <w:style w:type="character" w:styleId="ListLabel382" w:customStyle="1">
    <w:name w:val="ListLabel 382"/>
    <w:qFormat/>
    <w:rPr>
      <w:rFonts w:cs="Courier New"/>
    </w:rPr>
  </w:style>
  <w:style w:type="character" w:styleId="ListLabel383" w:customStyle="1">
    <w:name w:val="ListLabel 383"/>
    <w:qFormat/>
    <w:rPr>
      <w:rFonts w:cs="Wingdings"/>
    </w:rPr>
  </w:style>
  <w:style w:type="character" w:styleId="ListLabel384" w:customStyle="1">
    <w:name w:val="ListLabel 384"/>
    <w:qFormat/>
    <w:rPr>
      <w:rFonts w:cs="Symbol"/>
    </w:rPr>
  </w:style>
  <w:style w:type="character" w:styleId="ListLabel385" w:customStyle="1">
    <w:name w:val="ListLabel 385"/>
    <w:qFormat/>
    <w:rPr>
      <w:rFonts w:cs="Courier New"/>
    </w:rPr>
  </w:style>
  <w:style w:type="character" w:styleId="ListLabel386" w:customStyle="1">
    <w:name w:val="ListLabel 386"/>
    <w:qFormat/>
    <w:rPr>
      <w:rFonts w:cs="Wingdings"/>
    </w:rPr>
  </w:style>
  <w:style w:type="character" w:styleId="ListLabel387" w:customStyle="1">
    <w:name w:val="ListLabel 387"/>
    <w:qFormat/>
    <w:rPr>
      <w:b/>
      <w:sz w:val="28"/>
    </w:rPr>
  </w:style>
  <w:style w:type="character" w:styleId="ListLabel388" w:customStyle="1">
    <w:name w:val="ListLabel 388"/>
    <w:qFormat/>
    <w:rPr>
      <w:b/>
    </w:rPr>
  </w:style>
  <w:style w:type="character" w:styleId="ListLabel389" w:customStyle="1">
    <w:name w:val="ListLabel 389"/>
    <w:qFormat/>
    <w:rPr>
      <w:b/>
    </w:rPr>
  </w:style>
  <w:style w:type="character" w:styleId="ListLabel390" w:customStyle="1">
    <w:name w:val="ListLabel 390"/>
    <w:qFormat/>
    <w:rPr>
      <w:b w:val="false"/>
    </w:rPr>
  </w:style>
  <w:style w:type="character" w:styleId="ListLabel391" w:customStyle="1">
    <w:name w:val="ListLabel 391"/>
    <w:qFormat/>
    <w:rPr>
      <w:b w:val="false"/>
    </w:rPr>
  </w:style>
  <w:style w:type="character" w:styleId="ListLabel392" w:customStyle="1">
    <w:name w:val="ListLabel 392"/>
    <w:qFormat/>
    <w:rPr>
      <w:b w:val="false"/>
    </w:rPr>
  </w:style>
  <w:style w:type="character" w:styleId="ListLabel393" w:customStyle="1">
    <w:name w:val="ListLabel 393"/>
    <w:qFormat/>
    <w:rPr>
      <w:b w:val="false"/>
    </w:rPr>
  </w:style>
  <w:style w:type="character" w:styleId="ListLabel394" w:customStyle="1">
    <w:name w:val="ListLabel 394"/>
    <w:qFormat/>
    <w:rPr>
      <w:b w:val="false"/>
    </w:rPr>
  </w:style>
  <w:style w:type="character" w:styleId="ListLabel395" w:customStyle="1">
    <w:name w:val="ListLabel 395"/>
    <w:qFormat/>
    <w:rPr>
      <w:b w:val="false"/>
    </w:rPr>
  </w:style>
  <w:style w:type="character" w:styleId="ListLabel396" w:customStyle="1">
    <w:name w:val="ListLabel 396"/>
    <w:qFormat/>
    <w:rPr>
      <w:rFonts w:ascii="Times New Roman" w:hAnsi="Times New Roman" w:cs="Symbol"/>
      <w:sz w:val="24"/>
    </w:rPr>
  </w:style>
  <w:style w:type="character" w:styleId="ListLabel397" w:customStyle="1">
    <w:name w:val="ListLabel 397"/>
    <w:qFormat/>
    <w:rPr>
      <w:rFonts w:cs="Courier New"/>
    </w:rPr>
  </w:style>
  <w:style w:type="character" w:styleId="ListLabel398" w:customStyle="1">
    <w:name w:val="ListLabel 398"/>
    <w:qFormat/>
    <w:rPr>
      <w:rFonts w:cs="Wingdings"/>
    </w:rPr>
  </w:style>
  <w:style w:type="character" w:styleId="ListLabel399" w:customStyle="1">
    <w:name w:val="ListLabel 399"/>
    <w:qFormat/>
    <w:rPr>
      <w:rFonts w:cs="Symbol"/>
    </w:rPr>
  </w:style>
  <w:style w:type="character" w:styleId="ListLabel400" w:customStyle="1">
    <w:name w:val="ListLabel 400"/>
    <w:qFormat/>
    <w:rPr>
      <w:rFonts w:cs="Courier New"/>
    </w:rPr>
  </w:style>
  <w:style w:type="character" w:styleId="ListLabel401" w:customStyle="1">
    <w:name w:val="ListLabel 401"/>
    <w:qFormat/>
    <w:rPr>
      <w:rFonts w:cs="Wingdings"/>
    </w:rPr>
  </w:style>
  <w:style w:type="character" w:styleId="ListLabel402" w:customStyle="1">
    <w:name w:val="ListLabel 402"/>
    <w:qFormat/>
    <w:rPr>
      <w:rFonts w:cs="Symbol"/>
    </w:rPr>
  </w:style>
  <w:style w:type="character" w:styleId="ListLabel403" w:customStyle="1">
    <w:name w:val="ListLabel 403"/>
    <w:qFormat/>
    <w:rPr>
      <w:rFonts w:cs="Courier New"/>
    </w:rPr>
  </w:style>
  <w:style w:type="character" w:styleId="ListLabel404" w:customStyle="1">
    <w:name w:val="ListLabel 404"/>
    <w:qFormat/>
    <w:rPr>
      <w:rFonts w:cs="Wingdings"/>
    </w:rPr>
  </w:style>
  <w:style w:type="character" w:styleId="ListLabel405" w:customStyle="1">
    <w:name w:val="ListLabel 405"/>
    <w:qFormat/>
    <w:rPr>
      <w:rFonts w:cs="Courier New"/>
    </w:rPr>
  </w:style>
  <w:style w:type="character" w:styleId="ListLabel406" w:customStyle="1">
    <w:name w:val="ListLabel 406"/>
    <w:qFormat/>
    <w:rPr>
      <w:rFonts w:cs="Courier New"/>
    </w:rPr>
  </w:style>
  <w:style w:type="character" w:styleId="ListLabel407" w:customStyle="1">
    <w:name w:val="ListLabel 407"/>
    <w:qFormat/>
    <w:rPr>
      <w:rFonts w:cs="Courier New"/>
    </w:rPr>
  </w:style>
  <w:style w:type="character" w:styleId="ListLabel408" w:customStyle="1">
    <w:name w:val="ListLabel 408"/>
    <w:qFormat/>
    <w:rPr>
      <w:b/>
      <w:sz w:val="28"/>
    </w:rPr>
  </w:style>
  <w:style w:type="character" w:styleId="ListLabel409" w:customStyle="1">
    <w:name w:val="ListLabel 409"/>
    <w:qFormat/>
    <w:rPr>
      <w:b/>
    </w:rPr>
  </w:style>
  <w:style w:type="character" w:styleId="ListLabel410" w:customStyle="1">
    <w:name w:val="ListLabel 410"/>
    <w:qFormat/>
    <w:rPr>
      <w:b/>
    </w:rPr>
  </w:style>
  <w:style w:type="character" w:styleId="ListLabel411" w:customStyle="1">
    <w:name w:val="ListLabel 411"/>
    <w:qFormat/>
    <w:rPr>
      <w:b w:val="false"/>
    </w:rPr>
  </w:style>
  <w:style w:type="character" w:styleId="ListLabel412" w:customStyle="1">
    <w:name w:val="ListLabel 412"/>
    <w:qFormat/>
    <w:rPr>
      <w:b w:val="false"/>
    </w:rPr>
  </w:style>
  <w:style w:type="character" w:styleId="ListLabel413" w:customStyle="1">
    <w:name w:val="ListLabel 413"/>
    <w:qFormat/>
    <w:rPr>
      <w:b w:val="false"/>
    </w:rPr>
  </w:style>
  <w:style w:type="character" w:styleId="ListLabel414" w:customStyle="1">
    <w:name w:val="ListLabel 414"/>
    <w:qFormat/>
    <w:rPr>
      <w:b w:val="false"/>
    </w:rPr>
  </w:style>
  <w:style w:type="character" w:styleId="ListLabel415" w:customStyle="1">
    <w:name w:val="ListLabel 415"/>
    <w:qFormat/>
    <w:rPr>
      <w:b w:val="false"/>
    </w:rPr>
  </w:style>
  <w:style w:type="character" w:styleId="ListLabel416" w:customStyle="1">
    <w:name w:val="ListLabel 416"/>
    <w:qFormat/>
    <w:rPr>
      <w:b w:val="false"/>
    </w:rPr>
  </w:style>
  <w:style w:type="character" w:styleId="ListLabel417" w:customStyle="1">
    <w:name w:val="ListLabel 417"/>
    <w:qFormat/>
    <w:rPr>
      <w:rFonts w:ascii="Times New Roman" w:hAnsi="Times New Roman" w:cs="Symbol"/>
      <w:sz w:val="24"/>
    </w:rPr>
  </w:style>
  <w:style w:type="character" w:styleId="ListLabel418" w:customStyle="1">
    <w:name w:val="ListLabel 418"/>
    <w:qFormat/>
    <w:rPr>
      <w:rFonts w:cs="Courier New"/>
    </w:rPr>
  </w:style>
  <w:style w:type="character" w:styleId="ListLabel419" w:customStyle="1">
    <w:name w:val="ListLabel 419"/>
    <w:qFormat/>
    <w:rPr>
      <w:rFonts w:cs="Wingdings"/>
    </w:rPr>
  </w:style>
  <w:style w:type="character" w:styleId="ListLabel420" w:customStyle="1">
    <w:name w:val="ListLabel 420"/>
    <w:qFormat/>
    <w:rPr>
      <w:rFonts w:cs="Symbol"/>
    </w:rPr>
  </w:style>
  <w:style w:type="character" w:styleId="ListLabel421" w:customStyle="1">
    <w:name w:val="ListLabel 421"/>
    <w:qFormat/>
    <w:rPr>
      <w:rFonts w:cs="Courier New"/>
    </w:rPr>
  </w:style>
  <w:style w:type="character" w:styleId="ListLabel422" w:customStyle="1">
    <w:name w:val="ListLabel 422"/>
    <w:qFormat/>
    <w:rPr>
      <w:rFonts w:cs="Wingdings"/>
    </w:rPr>
  </w:style>
  <w:style w:type="character" w:styleId="ListLabel423" w:customStyle="1">
    <w:name w:val="ListLabel 423"/>
    <w:qFormat/>
    <w:rPr>
      <w:rFonts w:cs="Symbol"/>
    </w:rPr>
  </w:style>
  <w:style w:type="character" w:styleId="ListLabel424" w:customStyle="1">
    <w:name w:val="ListLabel 424"/>
    <w:qFormat/>
    <w:rPr>
      <w:rFonts w:cs="Courier New"/>
    </w:rPr>
  </w:style>
  <w:style w:type="character" w:styleId="ListLabel425" w:customStyle="1">
    <w:name w:val="ListLabel 425"/>
    <w:qFormat/>
    <w:rPr>
      <w:rFonts w:cs="Wingdings"/>
    </w:rPr>
  </w:style>
  <w:style w:type="character" w:styleId="ListLabel426" w:customStyle="1">
    <w:name w:val="ListLabel 426"/>
    <w:qFormat/>
    <w:rPr>
      <w:rFonts w:cs="Symbol"/>
      <w:sz w:val="24"/>
    </w:rPr>
  </w:style>
  <w:style w:type="character" w:styleId="ListLabel427" w:customStyle="1">
    <w:name w:val="ListLabel 427"/>
    <w:qFormat/>
    <w:rPr>
      <w:rFonts w:cs="Courier New"/>
    </w:rPr>
  </w:style>
  <w:style w:type="character" w:styleId="ListLabel428" w:customStyle="1">
    <w:name w:val="ListLabel 428"/>
    <w:qFormat/>
    <w:rPr>
      <w:rFonts w:cs="Wingdings"/>
    </w:rPr>
  </w:style>
  <w:style w:type="character" w:styleId="ListLabel429" w:customStyle="1">
    <w:name w:val="ListLabel 429"/>
    <w:qFormat/>
    <w:rPr>
      <w:rFonts w:cs="Symbol"/>
    </w:rPr>
  </w:style>
  <w:style w:type="character" w:styleId="ListLabel430" w:customStyle="1">
    <w:name w:val="ListLabel 430"/>
    <w:qFormat/>
    <w:rPr>
      <w:rFonts w:cs="Courier New"/>
    </w:rPr>
  </w:style>
  <w:style w:type="character" w:styleId="ListLabel431" w:customStyle="1">
    <w:name w:val="ListLabel 431"/>
    <w:qFormat/>
    <w:rPr>
      <w:rFonts w:cs="Wingdings"/>
    </w:rPr>
  </w:style>
  <w:style w:type="character" w:styleId="ListLabel432" w:customStyle="1">
    <w:name w:val="ListLabel 432"/>
    <w:qFormat/>
    <w:rPr>
      <w:rFonts w:cs="Symbol"/>
    </w:rPr>
  </w:style>
  <w:style w:type="character" w:styleId="ListLabel433" w:customStyle="1">
    <w:name w:val="ListLabel 433"/>
    <w:qFormat/>
    <w:rPr>
      <w:rFonts w:cs="Courier New"/>
    </w:rPr>
  </w:style>
  <w:style w:type="character" w:styleId="ListLabel434" w:customStyle="1">
    <w:name w:val="ListLabel 434"/>
    <w:qFormat/>
    <w:rPr>
      <w:rFonts w:cs="Wingdings"/>
    </w:rPr>
  </w:style>
  <w:style w:type="character" w:styleId="ListLabel435" w:customStyle="1">
    <w:name w:val="ListLabel 435"/>
    <w:qFormat/>
    <w:rPr>
      <w:b/>
      <w:sz w:val="28"/>
    </w:rPr>
  </w:style>
  <w:style w:type="character" w:styleId="ListLabel436" w:customStyle="1">
    <w:name w:val="ListLabel 436"/>
    <w:qFormat/>
    <w:rPr>
      <w:b/>
    </w:rPr>
  </w:style>
  <w:style w:type="character" w:styleId="ListLabel437" w:customStyle="1">
    <w:name w:val="ListLabel 437"/>
    <w:qFormat/>
    <w:rPr>
      <w:b/>
    </w:rPr>
  </w:style>
  <w:style w:type="character" w:styleId="ListLabel438" w:customStyle="1">
    <w:name w:val="ListLabel 438"/>
    <w:qFormat/>
    <w:rPr>
      <w:b w:val="false"/>
    </w:rPr>
  </w:style>
  <w:style w:type="character" w:styleId="ListLabel439" w:customStyle="1">
    <w:name w:val="ListLabel 439"/>
    <w:qFormat/>
    <w:rPr>
      <w:b w:val="false"/>
    </w:rPr>
  </w:style>
  <w:style w:type="character" w:styleId="ListLabel440" w:customStyle="1">
    <w:name w:val="ListLabel 440"/>
    <w:qFormat/>
    <w:rPr>
      <w:b w:val="false"/>
    </w:rPr>
  </w:style>
  <w:style w:type="character" w:styleId="ListLabel441" w:customStyle="1">
    <w:name w:val="ListLabel 441"/>
    <w:qFormat/>
    <w:rPr>
      <w:b w:val="false"/>
    </w:rPr>
  </w:style>
  <w:style w:type="character" w:styleId="ListLabel442" w:customStyle="1">
    <w:name w:val="ListLabel 442"/>
    <w:qFormat/>
    <w:rPr>
      <w:b w:val="false"/>
    </w:rPr>
  </w:style>
  <w:style w:type="character" w:styleId="ListLabel443" w:customStyle="1">
    <w:name w:val="ListLabel 443"/>
    <w:qFormat/>
    <w:rPr>
      <w:b w:val="false"/>
    </w:rPr>
  </w:style>
  <w:style w:type="character" w:styleId="ListLabel444" w:customStyle="1">
    <w:name w:val="ListLabel 444"/>
    <w:qFormat/>
    <w:rPr>
      <w:rFonts w:ascii="Times New Roman" w:hAnsi="Times New Roman" w:cs="Symbol"/>
      <w:sz w:val="24"/>
    </w:rPr>
  </w:style>
  <w:style w:type="character" w:styleId="ListLabel445" w:customStyle="1">
    <w:name w:val="ListLabel 445"/>
    <w:qFormat/>
    <w:rPr>
      <w:rFonts w:cs="Courier New"/>
    </w:rPr>
  </w:style>
  <w:style w:type="character" w:styleId="ListLabel446" w:customStyle="1">
    <w:name w:val="ListLabel 446"/>
    <w:qFormat/>
    <w:rPr>
      <w:rFonts w:cs="Wingdings"/>
    </w:rPr>
  </w:style>
  <w:style w:type="character" w:styleId="ListLabel447" w:customStyle="1">
    <w:name w:val="ListLabel 447"/>
    <w:qFormat/>
    <w:rPr>
      <w:rFonts w:cs="Symbol"/>
    </w:rPr>
  </w:style>
  <w:style w:type="character" w:styleId="ListLabel448" w:customStyle="1">
    <w:name w:val="ListLabel 448"/>
    <w:qFormat/>
    <w:rPr>
      <w:rFonts w:cs="Courier New"/>
    </w:rPr>
  </w:style>
  <w:style w:type="character" w:styleId="ListLabel449" w:customStyle="1">
    <w:name w:val="ListLabel 449"/>
    <w:qFormat/>
    <w:rPr>
      <w:rFonts w:cs="Wingdings"/>
    </w:rPr>
  </w:style>
  <w:style w:type="character" w:styleId="ListLabel450" w:customStyle="1">
    <w:name w:val="ListLabel 450"/>
    <w:qFormat/>
    <w:rPr>
      <w:rFonts w:cs="Symbol"/>
    </w:rPr>
  </w:style>
  <w:style w:type="character" w:styleId="ListLabel451" w:customStyle="1">
    <w:name w:val="ListLabel 451"/>
    <w:qFormat/>
    <w:rPr>
      <w:rFonts w:cs="Courier New"/>
    </w:rPr>
  </w:style>
  <w:style w:type="character" w:styleId="ListLabel452" w:customStyle="1">
    <w:name w:val="ListLabel 452"/>
    <w:qFormat/>
    <w:rPr>
      <w:rFonts w:cs="Wingdings"/>
    </w:rPr>
  </w:style>
  <w:style w:type="character" w:styleId="ListLabel453" w:customStyle="1">
    <w:name w:val="ListLabel 453"/>
    <w:qFormat/>
    <w:rPr>
      <w:rFonts w:cs="Symbol"/>
      <w:sz w:val="24"/>
    </w:rPr>
  </w:style>
  <w:style w:type="character" w:styleId="ListLabel454" w:customStyle="1">
    <w:name w:val="ListLabel 454"/>
    <w:qFormat/>
    <w:rPr>
      <w:rFonts w:cs="Courier New"/>
    </w:rPr>
  </w:style>
  <w:style w:type="character" w:styleId="ListLabel455" w:customStyle="1">
    <w:name w:val="ListLabel 455"/>
    <w:qFormat/>
    <w:rPr>
      <w:rFonts w:cs="Wingdings"/>
    </w:rPr>
  </w:style>
  <w:style w:type="character" w:styleId="ListLabel456" w:customStyle="1">
    <w:name w:val="ListLabel 456"/>
    <w:qFormat/>
    <w:rPr>
      <w:rFonts w:cs="Symbol"/>
    </w:rPr>
  </w:style>
  <w:style w:type="character" w:styleId="ListLabel457" w:customStyle="1">
    <w:name w:val="ListLabel 457"/>
    <w:qFormat/>
    <w:rPr>
      <w:rFonts w:cs="Courier New"/>
    </w:rPr>
  </w:style>
  <w:style w:type="character" w:styleId="ListLabel458" w:customStyle="1">
    <w:name w:val="ListLabel 458"/>
    <w:qFormat/>
    <w:rPr>
      <w:rFonts w:cs="Wingdings"/>
    </w:rPr>
  </w:style>
  <w:style w:type="character" w:styleId="ListLabel459" w:customStyle="1">
    <w:name w:val="ListLabel 459"/>
    <w:qFormat/>
    <w:rPr>
      <w:rFonts w:cs="Symbol"/>
    </w:rPr>
  </w:style>
  <w:style w:type="character" w:styleId="ListLabel460" w:customStyle="1">
    <w:name w:val="ListLabel 460"/>
    <w:qFormat/>
    <w:rPr>
      <w:rFonts w:cs="Courier New"/>
    </w:rPr>
  </w:style>
  <w:style w:type="character" w:styleId="ListLabel461" w:customStyle="1">
    <w:name w:val="ListLabel 461"/>
    <w:qFormat/>
    <w:rPr>
      <w:rFonts w:cs="Wingdings"/>
    </w:rPr>
  </w:style>
  <w:style w:type="character" w:styleId="ListLabel462" w:customStyle="1">
    <w:name w:val="ListLabel 462"/>
    <w:qFormat/>
    <w:rPr>
      <w:b/>
      <w:sz w:val="28"/>
    </w:rPr>
  </w:style>
  <w:style w:type="character" w:styleId="ListLabel463" w:customStyle="1">
    <w:name w:val="ListLabel 463"/>
    <w:qFormat/>
    <w:rPr>
      <w:b/>
    </w:rPr>
  </w:style>
  <w:style w:type="character" w:styleId="ListLabel464" w:customStyle="1">
    <w:name w:val="ListLabel 464"/>
    <w:qFormat/>
    <w:rPr>
      <w:b/>
    </w:rPr>
  </w:style>
  <w:style w:type="character" w:styleId="ListLabel465" w:customStyle="1">
    <w:name w:val="ListLabel 465"/>
    <w:qFormat/>
    <w:rPr>
      <w:b w:val="false"/>
    </w:rPr>
  </w:style>
  <w:style w:type="character" w:styleId="ListLabel466" w:customStyle="1">
    <w:name w:val="ListLabel 466"/>
    <w:qFormat/>
    <w:rPr>
      <w:b w:val="false"/>
    </w:rPr>
  </w:style>
  <w:style w:type="character" w:styleId="ListLabel467" w:customStyle="1">
    <w:name w:val="ListLabel 467"/>
    <w:qFormat/>
    <w:rPr>
      <w:b w:val="false"/>
    </w:rPr>
  </w:style>
  <w:style w:type="character" w:styleId="ListLabel468" w:customStyle="1">
    <w:name w:val="ListLabel 468"/>
    <w:qFormat/>
    <w:rPr>
      <w:b w:val="false"/>
    </w:rPr>
  </w:style>
  <w:style w:type="character" w:styleId="ListLabel469" w:customStyle="1">
    <w:name w:val="ListLabel 469"/>
    <w:qFormat/>
    <w:rPr>
      <w:b w:val="false"/>
    </w:rPr>
  </w:style>
  <w:style w:type="character" w:styleId="ListLabel470" w:customStyle="1">
    <w:name w:val="ListLabel 470"/>
    <w:qFormat/>
    <w:rPr>
      <w:b w:val="false"/>
    </w:rPr>
  </w:style>
  <w:style w:type="character" w:styleId="ListLabel471" w:customStyle="1">
    <w:name w:val="ListLabel 471"/>
    <w:qFormat/>
    <w:rPr>
      <w:rFonts w:ascii="Times New Roman" w:hAnsi="Times New Roman" w:cs="Symbol"/>
      <w:sz w:val="24"/>
    </w:rPr>
  </w:style>
  <w:style w:type="character" w:styleId="ListLabel472" w:customStyle="1">
    <w:name w:val="ListLabel 472"/>
    <w:qFormat/>
    <w:rPr>
      <w:rFonts w:cs="Courier New"/>
    </w:rPr>
  </w:style>
  <w:style w:type="character" w:styleId="ListLabel473" w:customStyle="1">
    <w:name w:val="ListLabel 473"/>
    <w:qFormat/>
    <w:rPr>
      <w:rFonts w:cs="Wingdings"/>
    </w:rPr>
  </w:style>
  <w:style w:type="character" w:styleId="ListLabel474" w:customStyle="1">
    <w:name w:val="ListLabel 474"/>
    <w:qFormat/>
    <w:rPr>
      <w:rFonts w:cs="Symbol"/>
    </w:rPr>
  </w:style>
  <w:style w:type="character" w:styleId="ListLabel475" w:customStyle="1">
    <w:name w:val="ListLabel 475"/>
    <w:qFormat/>
    <w:rPr>
      <w:rFonts w:cs="Courier New"/>
    </w:rPr>
  </w:style>
  <w:style w:type="character" w:styleId="ListLabel476" w:customStyle="1">
    <w:name w:val="ListLabel 476"/>
    <w:qFormat/>
    <w:rPr>
      <w:rFonts w:cs="Wingdings"/>
    </w:rPr>
  </w:style>
  <w:style w:type="character" w:styleId="ListLabel477" w:customStyle="1">
    <w:name w:val="ListLabel 477"/>
    <w:qFormat/>
    <w:rPr>
      <w:rFonts w:cs="Symbol"/>
    </w:rPr>
  </w:style>
  <w:style w:type="character" w:styleId="ListLabel478" w:customStyle="1">
    <w:name w:val="ListLabel 478"/>
    <w:qFormat/>
    <w:rPr>
      <w:rFonts w:cs="Courier New"/>
    </w:rPr>
  </w:style>
  <w:style w:type="character" w:styleId="ListLabel479" w:customStyle="1">
    <w:name w:val="ListLabel 479"/>
    <w:qFormat/>
    <w:rPr>
      <w:rFonts w:cs="Wingdings"/>
    </w:rPr>
  </w:style>
  <w:style w:type="character" w:styleId="ListLabel480" w:customStyle="1">
    <w:name w:val="ListLabel 480"/>
    <w:qFormat/>
    <w:rPr>
      <w:rFonts w:cs="Symbol"/>
      <w:sz w:val="24"/>
    </w:rPr>
  </w:style>
  <w:style w:type="character" w:styleId="ListLabel481" w:customStyle="1">
    <w:name w:val="ListLabel 481"/>
    <w:qFormat/>
    <w:rPr>
      <w:rFonts w:cs="Courier New"/>
    </w:rPr>
  </w:style>
  <w:style w:type="character" w:styleId="ListLabel482" w:customStyle="1">
    <w:name w:val="ListLabel 482"/>
    <w:qFormat/>
    <w:rPr>
      <w:rFonts w:cs="Wingdings"/>
    </w:rPr>
  </w:style>
  <w:style w:type="character" w:styleId="ListLabel483" w:customStyle="1">
    <w:name w:val="ListLabel 483"/>
    <w:qFormat/>
    <w:rPr>
      <w:rFonts w:cs="Symbol"/>
    </w:rPr>
  </w:style>
  <w:style w:type="character" w:styleId="ListLabel484" w:customStyle="1">
    <w:name w:val="ListLabel 484"/>
    <w:qFormat/>
    <w:rPr>
      <w:rFonts w:cs="Courier New"/>
    </w:rPr>
  </w:style>
  <w:style w:type="character" w:styleId="ListLabel485" w:customStyle="1">
    <w:name w:val="ListLabel 485"/>
    <w:qFormat/>
    <w:rPr>
      <w:rFonts w:cs="Wingdings"/>
    </w:rPr>
  </w:style>
  <w:style w:type="character" w:styleId="ListLabel486" w:customStyle="1">
    <w:name w:val="ListLabel 486"/>
    <w:qFormat/>
    <w:rPr>
      <w:rFonts w:cs="Symbol"/>
    </w:rPr>
  </w:style>
  <w:style w:type="character" w:styleId="ListLabel487" w:customStyle="1">
    <w:name w:val="ListLabel 487"/>
    <w:qFormat/>
    <w:rPr>
      <w:rFonts w:cs="Courier New"/>
    </w:rPr>
  </w:style>
  <w:style w:type="character" w:styleId="ListLabel488" w:customStyle="1">
    <w:name w:val="ListLabel 488"/>
    <w:qFormat/>
    <w:rPr>
      <w:rFonts w:cs="Wingdings"/>
    </w:rPr>
  </w:style>
  <w:style w:type="character" w:styleId="ListLabel489" w:customStyle="1">
    <w:name w:val="ListLabel 489"/>
    <w:qFormat/>
    <w:rPr>
      <w:b/>
      <w:sz w:val="28"/>
    </w:rPr>
  </w:style>
  <w:style w:type="character" w:styleId="ListLabel490" w:customStyle="1">
    <w:name w:val="ListLabel 490"/>
    <w:qFormat/>
    <w:rPr>
      <w:b/>
    </w:rPr>
  </w:style>
  <w:style w:type="character" w:styleId="ListLabel491" w:customStyle="1">
    <w:name w:val="ListLabel 491"/>
    <w:qFormat/>
    <w:rPr>
      <w:b/>
    </w:rPr>
  </w:style>
  <w:style w:type="character" w:styleId="ListLabel492" w:customStyle="1">
    <w:name w:val="ListLabel 492"/>
    <w:qFormat/>
    <w:rPr>
      <w:b w:val="false"/>
    </w:rPr>
  </w:style>
  <w:style w:type="character" w:styleId="ListLabel493" w:customStyle="1">
    <w:name w:val="ListLabel 493"/>
    <w:qFormat/>
    <w:rPr>
      <w:b w:val="false"/>
    </w:rPr>
  </w:style>
  <w:style w:type="character" w:styleId="ListLabel494" w:customStyle="1">
    <w:name w:val="ListLabel 494"/>
    <w:qFormat/>
    <w:rPr>
      <w:b w:val="false"/>
    </w:rPr>
  </w:style>
  <w:style w:type="character" w:styleId="ListLabel495" w:customStyle="1">
    <w:name w:val="ListLabel 495"/>
    <w:qFormat/>
    <w:rPr>
      <w:b w:val="false"/>
    </w:rPr>
  </w:style>
  <w:style w:type="character" w:styleId="ListLabel496" w:customStyle="1">
    <w:name w:val="ListLabel 496"/>
    <w:qFormat/>
    <w:rPr>
      <w:b w:val="false"/>
    </w:rPr>
  </w:style>
  <w:style w:type="character" w:styleId="ListLabel497" w:customStyle="1">
    <w:name w:val="ListLabel 497"/>
    <w:qFormat/>
    <w:rPr>
      <w:b w:val="false"/>
    </w:rPr>
  </w:style>
  <w:style w:type="character" w:styleId="ListLabel498" w:customStyle="1">
    <w:name w:val="ListLabel 498"/>
    <w:qFormat/>
    <w:rPr>
      <w:rFonts w:ascii="Times New Roman" w:hAnsi="Times New Roman" w:cs="Symbol"/>
      <w:sz w:val="24"/>
    </w:rPr>
  </w:style>
  <w:style w:type="character" w:styleId="ListLabel499" w:customStyle="1">
    <w:name w:val="ListLabel 499"/>
    <w:qFormat/>
    <w:rPr>
      <w:rFonts w:cs="Courier New"/>
    </w:rPr>
  </w:style>
  <w:style w:type="character" w:styleId="ListLabel500" w:customStyle="1">
    <w:name w:val="ListLabel 500"/>
    <w:qFormat/>
    <w:rPr>
      <w:rFonts w:cs="Wingdings"/>
    </w:rPr>
  </w:style>
  <w:style w:type="character" w:styleId="ListLabel501" w:customStyle="1">
    <w:name w:val="ListLabel 501"/>
    <w:qFormat/>
    <w:rPr>
      <w:rFonts w:cs="Symbol"/>
    </w:rPr>
  </w:style>
  <w:style w:type="character" w:styleId="ListLabel502" w:customStyle="1">
    <w:name w:val="ListLabel 502"/>
    <w:qFormat/>
    <w:rPr>
      <w:rFonts w:cs="Courier New"/>
    </w:rPr>
  </w:style>
  <w:style w:type="character" w:styleId="ListLabel503" w:customStyle="1">
    <w:name w:val="ListLabel 503"/>
    <w:qFormat/>
    <w:rPr>
      <w:rFonts w:cs="Wingdings"/>
    </w:rPr>
  </w:style>
  <w:style w:type="character" w:styleId="ListLabel504" w:customStyle="1">
    <w:name w:val="ListLabel 504"/>
    <w:qFormat/>
    <w:rPr>
      <w:rFonts w:cs="Symbol"/>
    </w:rPr>
  </w:style>
  <w:style w:type="character" w:styleId="ListLabel505" w:customStyle="1">
    <w:name w:val="ListLabel 505"/>
    <w:qFormat/>
    <w:rPr>
      <w:rFonts w:cs="Courier New"/>
    </w:rPr>
  </w:style>
  <w:style w:type="character" w:styleId="ListLabel506" w:customStyle="1">
    <w:name w:val="ListLabel 506"/>
    <w:qFormat/>
    <w:rPr>
      <w:rFonts w:cs="Wingdings"/>
    </w:rPr>
  </w:style>
  <w:style w:type="character" w:styleId="ListLabel507" w:customStyle="1">
    <w:name w:val="ListLabel 507"/>
    <w:qFormat/>
    <w:rPr>
      <w:rFonts w:cs="Symbol"/>
      <w:sz w:val="24"/>
    </w:rPr>
  </w:style>
  <w:style w:type="character" w:styleId="ListLabel508" w:customStyle="1">
    <w:name w:val="ListLabel 508"/>
    <w:qFormat/>
    <w:rPr>
      <w:rFonts w:cs="Courier New"/>
    </w:rPr>
  </w:style>
  <w:style w:type="character" w:styleId="ListLabel509" w:customStyle="1">
    <w:name w:val="ListLabel 509"/>
    <w:qFormat/>
    <w:rPr>
      <w:rFonts w:cs="Wingdings"/>
    </w:rPr>
  </w:style>
  <w:style w:type="character" w:styleId="ListLabel510" w:customStyle="1">
    <w:name w:val="ListLabel 510"/>
    <w:qFormat/>
    <w:rPr>
      <w:rFonts w:cs="Symbol"/>
    </w:rPr>
  </w:style>
  <w:style w:type="character" w:styleId="ListLabel511" w:customStyle="1">
    <w:name w:val="ListLabel 511"/>
    <w:qFormat/>
    <w:rPr>
      <w:rFonts w:cs="Courier New"/>
    </w:rPr>
  </w:style>
  <w:style w:type="character" w:styleId="ListLabel512" w:customStyle="1">
    <w:name w:val="ListLabel 512"/>
    <w:qFormat/>
    <w:rPr>
      <w:rFonts w:cs="Wingdings"/>
    </w:rPr>
  </w:style>
  <w:style w:type="character" w:styleId="ListLabel513" w:customStyle="1">
    <w:name w:val="ListLabel 513"/>
    <w:qFormat/>
    <w:rPr>
      <w:rFonts w:cs="Symbol"/>
    </w:rPr>
  </w:style>
  <w:style w:type="character" w:styleId="ListLabel514" w:customStyle="1">
    <w:name w:val="ListLabel 514"/>
    <w:qFormat/>
    <w:rPr>
      <w:rFonts w:cs="Courier New"/>
    </w:rPr>
  </w:style>
  <w:style w:type="character" w:styleId="ListLabel515" w:customStyle="1">
    <w:name w:val="ListLabel 515"/>
    <w:qFormat/>
    <w:rPr>
      <w:rFonts w:cs="Wingdings"/>
    </w:rPr>
  </w:style>
  <w:style w:type="character" w:styleId="ListLabel516" w:customStyle="1">
    <w:name w:val="ListLabel 516"/>
    <w:qFormat/>
    <w:rPr>
      <w:b/>
      <w:sz w:val="28"/>
    </w:rPr>
  </w:style>
  <w:style w:type="character" w:styleId="ListLabel517" w:customStyle="1">
    <w:name w:val="ListLabel 517"/>
    <w:qFormat/>
    <w:rPr>
      <w:b/>
    </w:rPr>
  </w:style>
  <w:style w:type="character" w:styleId="ListLabel518" w:customStyle="1">
    <w:name w:val="ListLabel 518"/>
    <w:qFormat/>
    <w:rPr>
      <w:b/>
    </w:rPr>
  </w:style>
  <w:style w:type="character" w:styleId="ListLabel519" w:customStyle="1">
    <w:name w:val="ListLabel 519"/>
    <w:qFormat/>
    <w:rPr>
      <w:b w:val="false"/>
    </w:rPr>
  </w:style>
  <w:style w:type="character" w:styleId="ListLabel520" w:customStyle="1">
    <w:name w:val="ListLabel 520"/>
    <w:qFormat/>
    <w:rPr>
      <w:b w:val="false"/>
    </w:rPr>
  </w:style>
  <w:style w:type="character" w:styleId="ListLabel521" w:customStyle="1">
    <w:name w:val="ListLabel 521"/>
    <w:qFormat/>
    <w:rPr>
      <w:b w:val="false"/>
    </w:rPr>
  </w:style>
  <w:style w:type="character" w:styleId="ListLabel522" w:customStyle="1">
    <w:name w:val="ListLabel 522"/>
    <w:qFormat/>
    <w:rPr>
      <w:b w:val="false"/>
    </w:rPr>
  </w:style>
  <w:style w:type="character" w:styleId="ListLabel523" w:customStyle="1">
    <w:name w:val="ListLabel 523"/>
    <w:qFormat/>
    <w:rPr>
      <w:b w:val="false"/>
    </w:rPr>
  </w:style>
  <w:style w:type="character" w:styleId="ListLabel524" w:customStyle="1">
    <w:name w:val="ListLabel 524"/>
    <w:qFormat/>
    <w:rPr>
      <w:b w:val="false"/>
    </w:rPr>
  </w:style>
  <w:style w:type="character" w:styleId="ListLabel525" w:customStyle="1">
    <w:name w:val="ListLabel 525"/>
    <w:qFormat/>
    <w:rPr>
      <w:rFonts w:ascii="Times New Roman" w:hAnsi="Times New Roman" w:cs="Symbol"/>
      <w:sz w:val="24"/>
    </w:rPr>
  </w:style>
  <w:style w:type="character" w:styleId="ListLabel526" w:customStyle="1">
    <w:name w:val="ListLabel 526"/>
    <w:qFormat/>
    <w:rPr>
      <w:rFonts w:cs="Courier New"/>
    </w:rPr>
  </w:style>
  <w:style w:type="character" w:styleId="ListLabel527" w:customStyle="1">
    <w:name w:val="ListLabel 527"/>
    <w:qFormat/>
    <w:rPr>
      <w:rFonts w:cs="Wingdings"/>
    </w:rPr>
  </w:style>
  <w:style w:type="character" w:styleId="ListLabel528" w:customStyle="1">
    <w:name w:val="ListLabel 528"/>
    <w:qFormat/>
    <w:rPr>
      <w:rFonts w:cs="Symbol"/>
    </w:rPr>
  </w:style>
  <w:style w:type="character" w:styleId="ListLabel529" w:customStyle="1">
    <w:name w:val="ListLabel 529"/>
    <w:qFormat/>
    <w:rPr>
      <w:rFonts w:cs="Courier New"/>
    </w:rPr>
  </w:style>
  <w:style w:type="character" w:styleId="ListLabel530" w:customStyle="1">
    <w:name w:val="ListLabel 530"/>
    <w:qFormat/>
    <w:rPr>
      <w:rFonts w:cs="Wingdings"/>
    </w:rPr>
  </w:style>
  <w:style w:type="character" w:styleId="ListLabel531" w:customStyle="1">
    <w:name w:val="ListLabel 531"/>
    <w:qFormat/>
    <w:rPr>
      <w:rFonts w:cs="Symbol"/>
    </w:rPr>
  </w:style>
  <w:style w:type="character" w:styleId="ListLabel532" w:customStyle="1">
    <w:name w:val="ListLabel 532"/>
    <w:qFormat/>
    <w:rPr>
      <w:rFonts w:cs="Courier New"/>
    </w:rPr>
  </w:style>
  <w:style w:type="character" w:styleId="ListLabel533" w:customStyle="1">
    <w:name w:val="ListLabel 533"/>
    <w:qFormat/>
    <w:rPr>
      <w:rFonts w:cs="Wingdings"/>
    </w:rPr>
  </w:style>
  <w:style w:type="character" w:styleId="ListLabel534" w:customStyle="1">
    <w:name w:val="ListLabel 534"/>
    <w:qFormat/>
    <w:rPr>
      <w:rFonts w:cs="Symbol"/>
      <w:sz w:val="24"/>
    </w:rPr>
  </w:style>
  <w:style w:type="character" w:styleId="ListLabel535" w:customStyle="1">
    <w:name w:val="ListLabel 535"/>
    <w:qFormat/>
    <w:rPr>
      <w:rFonts w:cs="Courier New"/>
    </w:rPr>
  </w:style>
  <w:style w:type="character" w:styleId="ListLabel536" w:customStyle="1">
    <w:name w:val="ListLabel 536"/>
    <w:qFormat/>
    <w:rPr>
      <w:rFonts w:cs="Wingdings"/>
    </w:rPr>
  </w:style>
  <w:style w:type="character" w:styleId="ListLabel537" w:customStyle="1">
    <w:name w:val="ListLabel 537"/>
    <w:qFormat/>
    <w:rPr>
      <w:rFonts w:cs="Symbol"/>
    </w:rPr>
  </w:style>
  <w:style w:type="character" w:styleId="ListLabel538" w:customStyle="1">
    <w:name w:val="ListLabel 538"/>
    <w:qFormat/>
    <w:rPr>
      <w:rFonts w:cs="Courier New"/>
    </w:rPr>
  </w:style>
  <w:style w:type="character" w:styleId="ListLabel539" w:customStyle="1">
    <w:name w:val="ListLabel 539"/>
    <w:qFormat/>
    <w:rPr>
      <w:rFonts w:cs="Wingdings"/>
    </w:rPr>
  </w:style>
  <w:style w:type="character" w:styleId="ListLabel540" w:customStyle="1">
    <w:name w:val="ListLabel 540"/>
    <w:qFormat/>
    <w:rPr>
      <w:rFonts w:cs="Symbol"/>
    </w:rPr>
  </w:style>
  <w:style w:type="character" w:styleId="ListLabel541" w:customStyle="1">
    <w:name w:val="ListLabel 541"/>
    <w:qFormat/>
    <w:rPr>
      <w:rFonts w:cs="Courier New"/>
    </w:rPr>
  </w:style>
  <w:style w:type="character" w:styleId="ListLabel542" w:customStyle="1">
    <w:name w:val="ListLabel 542"/>
    <w:qFormat/>
    <w:rPr>
      <w:rFonts w:cs="Wingdings"/>
    </w:rPr>
  </w:style>
  <w:style w:type="character" w:styleId="ListLabel543" w:customStyle="1">
    <w:name w:val="ListLabel 543"/>
    <w:qFormat/>
    <w:rPr>
      <w:b/>
      <w:sz w:val="28"/>
    </w:rPr>
  </w:style>
  <w:style w:type="character" w:styleId="ListLabel544" w:customStyle="1">
    <w:name w:val="ListLabel 544"/>
    <w:qFormat/>
    <w:rPr>
      <w:b/>
    </w:rPr>
  </w:style>
  <w:style w:type="character" w:styleId="ListLabel545" w:customStyle="1">
    <w:name w:val="ListLabel 545"/>
    <w:qFormat/>
    <w:rPr>
      <w:b/>
    </w:rPr>
  </w:style>
  <w:style w:type="character" w:styleId="ListLabel546" w:customStyle="1">
    <w:name w:val="ListLabel 546"/>
    <w:qFormat/>
    <w:rPr>
      <w:b w:val="false"/>
    </w:rPr>
  </w:style>
  <w:style w:type="character" w:styleId="ListLabel547" w:customStyle="1">
    <w:name w:val="ListLabel 547"/>
    <w:qFormat/>
    <w:rPr>
      <w:b w:val="false"/>
    </w:rPr>
  </w:style>
  <w:style w:type="character" w:styleId="ListLabel548" w:customStyle="1">
    <w:name w:val="ListLabel 548"/>
    <w:qFormat/>
    <w:rPr>
      <w:b w:val="false"/>
    </w:rPr>
  </w:style>
  <w:style w:type="character" w:styleId="ListLabel549" w:customStyle="1">
    <w:name w:val="ListLabel 549"/>
    <w:qFormat/>
    <w:rPr>
      <w:b w:val="false"/>
    </w:rPr>
  </w:style>
  <w:style w:type="character" w:styleId="ListLabel550" w:customStyle="1">
    <w:name w:val="ListLabel 550"/>
    <w:qFormat/>
    <w:rPr>
      <w:b w:val="false"/>
    </w:rPr>
  </w:style>
  <w:style w:type="character" w:styleId="ListLabel551" w:customStyle="1">
    <w:name w:val="ListLabel 551"/>
    <w:qFormat/>
    <w:rPr>
      <w:b w:val="false"/>
    </w:rPr>
  </w:style>
  <w:style w:type="character" w:styleId="ListLabel552" w:customStyle="1">
    <w:name w:val="ListLabel 552"/>
    <w:qFormat/>
    <w:rPr>
      <w:rFonts w:ascii="Times New Roman" w:hAnsi="Times New Roman" w:cs="Symbol"/>
      <w:sz w:val="24"/>
    </w:rPr>
  </w:style>
  <w:style w:type="character" w:styleId="ListLabel553" w:customStyle="1">
    <w:name w:val="ListLabel 553"/>
    <w:qFormat/>
    <w:rPr>
      <w:rFonts w:cs="Courier New"/>
    </w:rPr>
  </w:style>
  <w:style w:type="character" w:styleId="ListLabel554" w:customStyle="1">
    <w:name w:val="ListLabel 554"/>
    <w:qFormat/>
    <w:rPr>
      <w:rFonts w:cs="Wingdings"/>
    </w:rPr>
  </w:style>
  <w:style w:type="character" w:styleId="ListLabel555" w:customStyle="1">
    <w:name w:val="ListLabel 555"/>
    <w:qFormat/>
    <w:rPr>
      <w:rFonts w:cs="Symbol"/>
    </w:rPr>
  </w:style>
  <w:style w:type="character" w:styleId="ListLabel556" w:customStyle="1">
    <w:name w:val="ListLabel 556"/>
    <w:qFormat/>
    <w:rPr>
      <w:rFonts w:cs="Courier New"/>
    </w:rPr>
  </w:style>
  <w:style w:type="character" w:styleId="ListLabel557" w:customStyle="1">
    <w:name w:val="ListLabel 557"/>
    <w:qFormat/>
    <w:rPr>
      <w:rFonts w:cs="Wingdings"/>
    </w:rPr>
  </w:style>
  <w:style w:type="character" w:styleId="ListLabel558" w:customStyle="1">
    <w:name w:val="ListLabel 558"/>
    <w:qFormat/>
    <w:rPr>
      <w:rFonts w:cs="Symbol"/>
    </w:rPr>
  </w:style>
  <w:style w:type="character" w:styleId="ListLabel559" w:customStyle="1">
    <w:name w:val="ListLabel 559"/>
    <w:qFormat/>
    <w:rPr>
      <w:rFonts w:cs="Courier New"/>
    </w:rPr>
  </w:style>
  <w:style w:type="character" w:styleId="ListLabel560" w:customStyle="1">
    <w:name w:val="ListLabel 560"/>
    <w:qFormat/>
    <w:rPr>
      <w:rFonts w:cs="Wingdings"/>
    </w:rPr>
  </w:style>
  <w:style w:type="character" w:styleId="ListLabel561" w:customStyle="1">
    <w:name w:val="ListLabel 561"/>
    <w:qFormat/>
    <w:rPr>
      <w:rFonts w:cs="Symbol"/>
      <w:sz w:val="24"/>
    </w:rPr>
  </w:style>
  <w:style w:type="character" w:styleId="ListLabel562" w:customStyle="1">
    <w:name w:val="ListLabel 562"/>
    <w:qFormat/>
    <w:rPr>
      <w:rFonts w:cs="Courier New"/>
    </w:rPr>
  </w:style>
  <w:style w:type="character" w:styleId="ListLabel563" w:customStyle="1">
    <w:name w:val="ListLabel 563"/>
    <w:qFormat/>
    <w:rPr>
      <w:rFonts w:cs="Wingdings"/>
    </w:rPr>
  </w:style>
  <w:style w:type="character" w:styleId="ListLabel564" w:customStyle="1">
    <w:name w:val="ListLabel 564"/>
    <w:qFormat/>
    <w:rPr>
      <w:rFonts w:cs="Symbol"/>
    </w:rPr>
  </w:style>
  <w:style w:type="character" w:styleId="ListLabel565" w:customStyle="1">
    <w:name w:val="ListLabel 565"/>
    <w:qFormat/>
    <w:rPr>
      <w:rFonts w:cs="Courier New"/>
    </w:rPr>
  </w:style>
  <w:style w:type="character" w:styleId="ListLabel566" w:customStyle="1">
    <w:name w:val="ListLabel 566"/>
    <w:qFormat/>
    <w:rPr>
      <w:rFonts w:cs="Wingdings"/>
    </w:rPr>
  </w:style>
  <w:style w:type="character" w:styleId="ListLabel567" w:customStyle="1">
    <w:name w:val="ListLabel 567"/>
    <w:qFormat/>
    <w:rPr>
      <w:rFonts w:cs="Symbol"/>
    </w:rPr>
  </w:style>
  <w:style w:type="character" w:styleId="ListLabel568" w:customStyle="1">
    <w:name w:val="ListLabel 568"/>
    <w:qFormat/>
    <w:rPr>
      <w:rFonts w:cs="Courier New"/>
    </w:rPr>
  </w:style>
  <w:style w:type="character" w:styleId="ListLabel569" w:customStyle="1">
    <w:name w:val="ListLabel 569"/>
    <w:qFormat/>
    <w:rPr>
      <w:rFonts w:cs="Wingdings"/>
    </w:rPr>
  </w:style>
  <w:style w:type="character" w:styleId="ListLabel570" w:customStyle="1">
    <w:name w:val="ListLabel 570"/>
    <w:qFormat/>
    <w:rPr>
      <w:b/>
      <w:sz w:val="28"/>
    </w:rPr>
  </w:style>
  <w:style w:type="character" w:styleId="ListLabel571" w:customStyle="1">
    <w:name w:val="ListLabel 571"/>
    <w:qFormat/>
    <w:rPr>
      <w:b/>
    </w:rPr>
  </w:style>
  <w:style w:type="character" w:styleId="ListLabel572" w:customStyle="1">
    <w:name w:val="ListLabel 572"/>
    <w:qFormat/>
    <w:rPr>
      <w:b/>
    </w:rPr>
  </w:style>
  <w:style w:type="character" w:styleId="ListLabel573" w:customStyle="1">
    <w:name w:val="ListLabel 573"/>
    <w:qFormat/>
    <w:rPr>
      <w:b w:val="false"/>
    </w:rPr>
  </w:style>
  <w:style w:type="character" w:styleId="ListLabel574" w:customStyle="1">
    <w:name w:val="ListLabel 574"/>
    <w:qFormat/>
    <w:rPr>
      <w:b w:val="false"/>
    </w:rPr>
  </w:style>
  <w:style w:type="character" w:styleId="ListLabel575" w:customStyle="1">
    <w:name w:val="ListLabel 575"/>
    <w:qFormat/>
    <w:rPr>
      <w:b w:val="false"/>
    </w:rPr>
  </w:style>
  <w:style w:type="character" w:styleId="ListLabel576" w:customStyle="1">
    <w:name w:val="ListLabel 576"/>
    <w:qFormat/>
    <w:rPr>
      <w:b w:val="false"/>
    </w:rPr>
  </w:style>
  <w:style w:type="character" w:styleId="ListLabel577" w:customStyle="1">
    <w:name w:val="ListLabel 577"/>
    <w:qFormat/>
    <w:rPr>
      <w:b w:val="false"/>
    </w:rPr>
  </w:style>
  <w:style w:type="character" w:styleId="ListLabel578" w:customStyle="1">
    <w:name w:val="ListLabel 578"/>
    <w:qFormat/>
    <w:rPr>
      <w:b w:val="false"/>
    </w:rPr>
  </w:style>
  <w:style w:type="character" w:styleId="ListLabel579" w:customStyle="1">
    <w:name w:val="ListLabel 579"/>
    <w:qFormat/>
    <w:rPr>
      <w:rFonts w:ascii="Times New Roman" w:hAnsi="Times New Roman" w:cs="Symbol"/>
      <w:sz w:val="24"/>
    </w:rPr>
  </w:style>
  <w:style w:type="character" w:styleId="ListLabel580" w:customStyle="1">
    <w:name w:val="ListLabel 580"/>
    <w:qFormat/>
    <w:rPr>
      <w:rFonts w:cs="Courier New"/>
    </w:rPr>
  </w:style>
  <w:style w:type="character" w:styleId="ListLabel581" w:customStyle="1">
    <w:name w:val="ListLabel 581"/>
    <w:qFormat/>
    <w:rPr>
      <w:rFonts w:cs="Wingdings"/>
    </w:rPr>
  </w:style>
  <w:style w:type="character" w:styleId="ListLabel582" w:customStyle="1">
    <w:name w:val="ListLabel 582"/>
    <w:qFormat/>
    <w:rPr>
      <w:rFonts w:cs="Symbol"/>
    </w:rPr>
  </w:style>
  <w:style w:type="character" w:styleId="ListLabel583" w:customStyle="1">
    <w:name w:val="ListLabel 583"/>
    <w:qFormat/>
    <w:rPr>
      <w:rFonts w:cs="Courier New"/>
    </w:rPr>
  </w:style>
  <w:style w:type="character" w:styleId="ListLabel584" w:customStyle="1">
    <w:name w:val="ListLabel 584"/>
    <w:qFormat/>
    <w:rPr>
      <w:rFonts w:cs="Wingdings"/>
    </w:rPr>
  </w:style>
  <w:style w:type="character" w:styleId="ListLabel585" w:customStyle="1">
    <w:name w:val="ListLabel 585"/>
    <w:qFormat/>
    <w:rPr>
      <w:rFonts w:cs="Symbol"/>
    </w:rPr>
  </w:style>
  <w:style w:type="character" w:styleId="ListLabel586" w:customStyle="1">
    <w:name w:val="ListLabel 586"/>
    <w:qFormat/>
    <w:rPr>
      <w:rFonts w:cs="Courier New"/>
    </w:rPr>
  </w:style>
  <w:style w:type="character" w:styleId="ListLabel587" w:customStyle="1">
    <w:name w:val="ListLabel 587"/>
    <w:qFormat/>
    <w:rPr>
      <w:rFonts w:cs="Wingdings"/>
    </w:rPr>
  </w:style>
  <w:style w:type="character" w:styleId="ListLabel588" w:customStyle="1">
    <w:name w:val="ListLabel 588"/>
    <w:qFormat/>
    <w:rPr>
      <w:rFonts w:cs="Symbol"/>
      <w:sz w:val="24"/>
    </w:rPr>
  </w:style>
  <w:style w:type="character" w:styleId="ListLabel589" w:customStyle="1">
    <w:name w:val="ListLabel 589"/>
    <w:qFormat/>
    <w:rPr>
      <w:rFonts w:cs="Courier New"/>
    </w:rPr>
  </w:style>
  <w:style w:type="character" w:styleId="ListLabel590" w:customStyle="1">
    <w:name w:val="ListLabel 590"/>
    <w:qFormat/>
    <w:rPr>
      <w:rFonts w:cs="Wingdings"/>
    </w:rPr>
  </w:style>
  <w:style w:type="character" w:styleId="ListLabel591" w:customStyle="1">
    <w:name w:val="ListLabel 591"/>
    <w:qFormat/>
    <w:rPr>
      <w:rFonts w:cs="Symbol"/>
    </w:rPr>
  </w:style>
  <w:style w:type="character" w:styleId="ListLabel592" w:customStyle="1">
    <w:name w:val="ListLabel 592"/>
    <w:qFormat/>
    <w:rPr>
      <w:rFonts w:cs="Courier New"/>
    </w:rPr>
  </w:style>
  <w:style w:type="character" w:styleId="ListLabel593" w:customStyle="1">
    <w:name w:val="ListLabel 593"/>
    <w:qFormat/>
    <w:rPr>
      <w:rFonts w:cs="Wingdings"/>
    </w:rPr>
  </w:style>
  <w:style w:type="character" w:styleId="ListLabel594" w:customStyle="1">
    <w:name w:val="ListLabel 594"/>
    <w:qFormat/>
    <w:rPr>
      <w:rFonts w:cs="Symbol"/>
    </w:rPr>
  </w:style>
  <w:style w:type="character" w:styleId="ListLabel595" w:customStyle="1">
    <w:name w:val="ListLabel 595"/>
    <w:qFormat/>
    <w:rPr>
      <w:rFonts w:cs="Courier New"/>
    </w:rPr>
  </w:style>
  <w:style w:type="character" w:styleId="ListLabel596" w:customStyle="1">
    <w:name w:val="ListLabel 596"/>
    <w:qFormat/>
    <w:rPr>
      <w:rFonts w:cs="Wingdings"/>
    </w:rPr>
  </w:style>
  <w:style w:type="character" w:styleId="ListLabel597" w:customStyle="1">
    <w:name w:val="ListLabel 597"/>
    <w:qFormat/>
    <w:rPr>
      <w:b/>
      <w:sz w:val="28"/>
    </w:rPr>
  </w:style>
  <w:style w:type="character" w:styleId="ListLabel598" w:customStyle="1">
    <w:name w:val="ListLabel 598"/>
    <w:qFormat/>
    <w:rPr>
      <w:b/>
    </w:rPr>
  </w:style>
  <w:style w:type="character" w:styleId="ListLabel599" w:customStyle="1">
    <w:name w:val="ListLabel 599"/>
    <w:qFormat/>
    <w:rPr>
      <w:b/>
    </w:rPr>
  </w:style>
  <w:style w:type="character" w:styleId="ListLabel600" w:customStyle="1">
    <w:name w:val="ListLabel 600"/>
    <w:qFormat/>
    <w:rPr>
      <w:b w:val="false"/>
    </w:rPr>
  </w:style>
  <w:style w:type="character" w:styleId="ListLabel601" w:customStyle="1">
    <w:name w:val="ListLabel 601"/>
    <w:qFormat/>
    <w:rPr>
      <w:b w:val="false"/>
    </w:rPr>
  </w:style>
  <w:style w:type="character" w:styleId="ListLabel602" w:customStyle="1">
    <w:name w:val="ListLabel 602"/>
    <w:qFormat/>
    <w:rPr>
      <w:b w:val="false"/>
    </w:rPr>
  </w:style>
  <w:style w:type="character" w:styleId="ListLabel603" w:customStyle="1">
    <w:name w:val="ListLabel 603"/>
    <w:qFormat/>
    <w:rPr>
      <w:b w:val="false"/>
    </w:rPr>
  </w:style>
  <w:style w:type="character" w:styleId="ListLabel604" w:customStyle="1">
    <w:name w:val="ListLabel 604"/>
    <w:qFormat/>
    <w:rPr>
      <w:b w:val="false"/>
    </w:rPr>
  </w:style>
  <w:style w:type="character" w:styleId="ListLabel605" w:customStyle="1">
    <w:name w:val="ListLabel 605"/>
    <w:qFormat/>
    <w:rPr>
      <w:b w:val="false"/>
    </w:rPr>
  </w:style>
  <w:style w:type="character" w:styleId="ListLabel606" w:customStyle="1">
    <w:name w:val="ListLabel 606"/>
    <w:qFormat/>
    <w:rPr>
      <w:rFonts w:ascii="Times New Roman" w:hAnsi="Times New Roman" w:cs="Symbol"/>
      <w:sz w:val="24"/>
    </w:rPr>
  </w:style>
  <w:style w:type="character" w:styleId="ListLabel607" w:customStyle="1">
    <w:name w:val="ListLabel 607"/>
    <w:qFormat/>
    <w:rPr>
      <w:rFonts w:cs="Courier New"/>
    </w:rPr>
  </w:style>
  <w:style w:type="character" w:styleId="ListLabel608" w:customStyle="1">
    <w:name w:val="ListLabel 608"/>
    <w:qFormat/>
    <w:rPr>
      <w:rFonts w:cs="Wingdings"/>
    </w:rPr>
  </w:style>
  <w:style w:type="character" w:styleId="ListLabel609" w:customStyle="1">
    <w:name w:val="ListLabel 609"/>
    <w:qFormat/>
    <w:rPr>
      <w:rFonts w:cs="Symbol"/>
    </w:rPr>
  </w:style>
  <w:style w:type="character" w:styleId="ListLabel610" w:customStyle="1">
    <w:name w:val="ListLabel 610"/>
    <w:qFormat/>
    <w:rPr>
      <w:rFonts w:cs="Courier New"/>
    </w:rPr>
  </w:style>
  <w:style w:type="character" w:styleId="ListLabel611" w:customStyle="1">
    <w:name w:val="ListLabel 611"/>
    <w:qFormat/>
    <w:rPr>
      <w:rFonts w:cs="Wingdings"/>
    </w:rPr>
  </w:style>
  <w:style w:type="character" w:styleId="ListLabel612" w:customStyle="1">
    <w:name w:val="ListLabel 612"/>
    <w:qFormat/>
    <w:rPr>
      <w:rFonts w:cs="Symbol"/>
    </w:rPr>
  </w:style>
  <w:style w:type="character" w:styleId="ListLabel613" w:customStyle="1">
    <w:name w:val="ListLabel 613"/>
    <w:qFormat/>
    <w:rPr>
      <w:rFonts w:cs="Courier New"/>
    </w:rPr>
  </w:style>
  <w:style w:type="character" w:styleId="ListLabel614" w:customStyle="1">
    <w:name w:val="ListLabel 614"/>
    <w:qFormat/>
    <w:rPr>
      <w:rFonts w:cs="Wingdings"/>
    </w:rPr>
  </w:style>
  <w:style w:type="character" w:styleId="ListLabel615" w:customStyle="1">
    <w:name w:val="ListLabel 615"/>
    <w:qFormat/>
    <w:rPr>
      <w:rFonts w:cs="Symbol"/>
      <w:sz w:val="24"/>
    </w:rPr>
  </w:style>
  <w:style w:type="character" w:styleId="ListLabel616" w:customStyle="1">
    <w:name w:val="ListLabel 616"/>
    <w:qFormat/>
    <w:rPr>
      <w:rFonts w:cs="Courier New"/>
    </w:rPr>
  </w:style>
  <w:style w:type="character" w:styleId="ListLabel617" w:customStyle="1">
    <w:name w:val="ListLabel 617"/>
    <w:qFormat/>
    <w:rPr>
      <w:rFonts w:cs="Wingdings"/>
    </w:rPr>
  </w:style>
  <w:style w:type="character" w:styleId="ListLabel618" w:customStyle="1">
    <w:name w:val="ListLabel 618"/>
    <w:qFormat/>
    <w:rPr>
      <w:rFonts w:cs="Symbol"/>
    </w:rPr>
  </w:style>
  <w:style w:type="character" w:styleId="ListLabel619" w:customStyle="1">
    <w:name w:val="ListLabel 619"/>
    <w:qFormat/>
    <w:rPr>
      <w:rFonts w:cs="Courier New"/>
    </w:rPr>
  </w:style>
  <w:style w:type="character" w:styleId="ListLabel620" w:customStyle="1">
    <w:name w:val="ListLabel 620"/>
    <w:qFormat/>
    <w:rPr>
      <w:rFonts w:cs="Wingdings"/>
    </w:rPr>
  </w:style>
  <w:style w:type="character" w:styleId="ListLabel621" w:customStyle="1">
    <w:name w:val="ListLabel 621"/>
    <w:qFormat/>
    <w:rPr>
      <w:rFonts w:cs="Symbol"/>
    </w:rPr>
  </w:style>
  <w:style w:type="character" w:styleId="ListLabel622" w:customStyle="1">
    <w:name w:val="ListLabel 622"/>
    <w:qFormat/>
    <w:rPr>
      <w:rFonts w:cs="Courier New"/>
    </w:rPr>
  </w:style>
  <w:style w:type="character" w:styleId="ListLabel623" w:customStyle="1">
    <w:name w:val="ListLabel 623"/>
    <w:qFormat/>
    <w:rPr>
      <w:rFonts w:cs="Wingdings"/>
    </w:rPr>
  </w:style>
  <w:style w:type="character" w:styleId="ListLabel624">
    <w:name w:val="ListLabel 624"/>
    <w:qFormat/>
    <w:rPr>
      <w:b/>
      <w:sz w:val="28"/>
    </w:rPr>
  </w:style>
  <w:style w:type="character" w:styleId="ListLabel625">
    <w:name w:val="ListLabel 625"/>
    <w:qFormat/>
    <w:rPr>
      <w:b/>
    </w:rPr>
  </w:style>
  <w:style w:type="character" w:styleId="ListLabel626">
    <w:name w:val="ListLabel 626"/>
    <w:qFormat/>
    <w:rPr>
      <w:b/>
    </w:rPr>
  </w:style>
  <w:style w:type="character" w:styleId="ListLabel627">
    <w:name w:val="ListLabel 627"/>
    <w:qFormat/>
    <w:rPr>
      <w:b w:val="false"/>
    </w:rPr>
  </w:style>
  <w:style w:type="character" w:styleId="ListLabel628">
    <w:name w:val="ListLabel 628"/>
    <w:qFormat/>
    <w:rPr>
      <w:b w:val="false"/>
    </w:rPr>
  </w:style>
  <w:style w:type="character" w:styleId="ListLabel629">
    <w:name w:val="ListLabel 629"/>
    <w:qFormat/>
    <w:rPr>
      <w:b w:val="false"/>
    </w:rPr>
  </w:style>
  <w:style w:type="character" w:styleId="ListLabel630">
    <w:name w:val="ListLabel 630"/>
    <w:qFormat/>
    <w:rPr>
      <w:b w:val="false"/>
    </w:rPr>
  </w:style>
  <w:style w:type="character" w:styleId="ListLabel631">
    <w:name w:val="ListLabel 631"/>
    <w:qFormat/>
    <w:rPr>
      <w:b w:val="false"/>
    </w:rPr>
  </w:style>
  <w:style w:type="character" w:styleId="ListLabel632">
    <w:name w:val="ListLabel 632"/>
    <w:qFormat/>
    <w:rPr>
      <w:b w:val="false"/>
    </w:rPr>
  </w:style>
  <w:style w:type="character" w:styleId="ListLabel633">
    <w:name w:val="ListLabel 633"/>
    <w:qFormat/>
    <w:rPr>
      <w:rFonts w:ascii="Times New Roman" w:hAnsi="Times New Roman" w:cs="Symbol"/>
      <w:sz w:val="24"/>
    </w:rPr>
  </w:style>
  <w:style w:type="character" w:styleId="ListLabel634">
    <w:name w:val="ListLabel 634"/>
    <w:qFormat/>
    <w:rPr>
      <w:rFonts w:cs="Courier New"/>
    </w:rPr>
  </w:style>
  <w:style w:type="character" w:styleId="ListLabel635">
    <w:name w:val="ListLabel 635"/>
    <w:qFormat/>
    <w:rPr>
      <w:rFonts w:cs="Wingdings"/>
    </w:rPr>
  </w:style>
  <w:style w:type="character" w:styleId="ListLabel636">
    <w:name w:val="ListLabel 636"/>
    <w:qFormat/>
    <w:rPr>
      <w:rFonts w:cs="Symbol"/>
    </w:rPr>
  </w:style>
  <w:style w:type="character" w:styleId="ListLabel637">
    <w:name w:val="ListLabel 637"/>
    <w:qFormat/>
    <w:rPr>
      <w:rFonts w:cs="Courier New"/>
    </w:rPr>
  </w:style>
  <w:style w:type="character" w:styleId="ListLabel638">
    <w:name w:val="ListLabel 638"/>
    <w:qFormat/>
    <w:rPr>
      <w:rFonts w:cs="Wingdings"/>
    </w:rPr>
  </w:style>
  <w:style w:type="character" w:styleId="ListLabel639">
    <w:name w:val="ListLabel 639"/>
    <w:qFormat/>
    <w:rPr>
      <w:rFonts w:cs="Symbol"/>
    </w:rPr>
  </w:style>
  <w:style w:type="character" w:styleId="ListLabel640">
    <w:name w:val="ListLabel 640"/>
    <w:qFormat/>
    <w:rPr>
      <w:rFonts w:cs="Courier New"/>
    </w:rPr>
  </w:style>
  <w:style w:type="character" w:styleId="ListLabel641">
    <w:name w:val="ListLabel 641"/>
    <w:qFormat/>
    <w:rPr>
      <w:rFonts w:cs="Wingdings"/>
    </w:rPr>
  </w:style>
  <w:style w:type="character" w:styleId="ListLabel642">
    <w:name w:val="ListLabel 642"/>
    <w:qFormat/>
    <w:rPr>
      <w:rFonts w:cs="Symbol"/>
      <w:sz w:val="24"/>
    </w:rPr>
  </w:style>
  <w:style w:type="character" w:styleId="ListLabel643">
    <w:name w:val="ListLabel 643"/>
    <w:qFormat/>
    <w:rPr>
      <w:rFonts w:cs="Courier New"/>
    </w:rPr>
  </w:style>
  <w:style w:type="character" w:styleId="ListLabel644">
    <w:name w:val="ListLabel 644"/>
    <w:qFormat/>
    <w:rPr>
      <w:rFonts w:cs="Wingdings"/>
    </w:rPr>
  </w:style>
  <w:style w:type="character" w:styleId="ListLabel645">
    <w:name w:val="ListLabel 645"/>
    <w:qFormat/>
    <w:rPr>
      <w:rFonts w:cs="Symbol"/>
    </w:rPr>
  </w:style>
  <w:style w:type="character" w:styleId="ListLabel646">
    <w:name w:val="ListLabel 646"/>
    <w:qFormat/>
    <w:rPr>
      <w:rFonts w:cs="Courier New"/>
    </w:rPr>
  </w:style>
  <w:style w:type="character" w:styleId="ListLabel647">
    <w:name w:val="ListLabel 647"/>
    <w:qFormat/>
    <w:rPr>
      <w:rFonts w:cs="Wingdings"/>
    </w:rPr>
  </w:style>
  <w:style w:type="character" w:styleId="ListLabel648">
    <w:name w:val="ListLabel 648"/>
    <w:qFormat/>
    <w:rPr>
      <w:rFonts w:cs="Symbol"/>
    </w:rPr>
  </w:style>
  <w:style w:type="character" w:styleId="ListLabel649">
    <w:name w:val="ListLabel 649"/>
    <w:qFormat/>
    <w:rPr>
      <w:rFonts w:cs="Courier New"/>
    </w:rPr>
  </w:style>
  <w:style w:type="character" w:styleId="ListLabel650">
    <w:name w:val="ListLabel 650"/>
    <w:qFormat/>
    <w:rPr>
      <w:rFonts w:cs="Wingdings"/>
    </w:rPr>
  </w:style>
  <w:style w:type="character" w:styleId="ListLabel651">
    <w:name w:val="ListLabel 651"/>
    <w:qFormat/>
    <w:rPr>
      <w:b/>
      <w:sz w:val="28"/>
    </w:rPr>
  </w:style>
  <w:style w:type="character" w:styleId="ListLabel652">
    <w:name w:val="ListLabel 652"/>
    <w:qFormat/>
    <w:rPr>
      <w:b/>
    </w:rPr>
  </w:style>
  <w:style w:type="character" w:styleId="ListLabel653">
    <w:name w:val="ListLabel 653"/>
    <w:qFormat/>
    <w:rPr>
      <w:b/>
    </w:rPr>
  </w:style>
  <w:style w:type="character" w:styleId="ListLabel654">
    <w:name w:val="ListLabel 654"/>
    <w:qFormat/>
    <w:rPr>
      <w:b w:val="false"/>
    </w:rPr>
  </w:style>
  <w:style w:type="character" w:styleId="ListLabel655">
    <w:name w:val="ListLabel 655"/>
    <w:qFormat/>
    <w:rPr>
      <w:b w:val="false"/>
    </w:rPr>
  </w:style>
  <w:style w:type="character" w:styleId="ListLabel656">
    <w:name w:val="ListLabel 656"/>
    <w:qFormat/>
    <w:rPr>
      <w:b w:val="false"/>
    </w:rPr>
  </w:style>
  <w:style w:type="character" w:styleId="ListLabel657">
    <w:name w:val="ListLabel 657"/>
    <w:qFormat/>
    <w:rPr>
      <w:b w:val="false"/>
    </w:rPr>
  </w:style>
  <w:style w:type="character" w:styleId="ListLabel658">
    <w:name w:val="ListLabel 658"/>
    <w:qFormat/>
    <w:rPr>
      <w:b w:val="false"/>
    </w:rPr>
  </w:style>
  <w:style w:type="character" w:styleId="ListLabel659">
    <w:name w:val="ListLabel 659"/>
    <w:qFormat/>
    <w:rPr>
      <w:b w:val="false"/>
    </w:rPr>
  </w:style>
  <w:style w:type="character" w:styleId="ListLabel660">
    <w:name w:val="ListLabel 660"/>
    <w:qFormat/>
    <w:rPr>
      <w:rFonts w:ascii="Times New Roman" w:hAnsi="Times New Roman" w:cs="Symbol"/>
      <w:sz w:val="24"/>
    </w:rPr>
  </w:style>
  <w:style w:type="character" w:styleId="ListLabel661">
    <w:name w:val="ListLabel 661"/>
    <w:qFormat/>
    <w:rPr>
      <w:rFonts w:cs="Courier New"/>
    </w:rPr>
  </w:style>
  <w:style w:type="character" w:styleId="ListLabel662">
    <w:name w:val="ListLabel 662"/>
    <w:qFormat/>
    <w:rPr>
      <w:rFonts w:cs="Wingdings"/>
    </w:rPr>
  </w:style>
  <w:style w:type="character" w:styleId="ListLabel663">
    <w:name w:val="ListLabel 663"/>
    <w:qFormat/>
    <w:rPr>
      <w:rFonts w:cs="Symbol"/>
    </w:rPr>
  </w:style>
  <w:style w:type="character" w:styleId="ListLabel664">
    <w:name w:val="ListLabel 664"/>
    <w:qFormat/>
    <w:rPr>
      <w:rFonts w:cs="Courier New"/>
    </w:rPr>
  </w:style>
  <w:style w:type="character" w:styleId="ListLabel665">
    <w:name w:val="ListLabel 665"/>
    <w:qFormat/>
    <w:rPr>
      <w:rFonts w:cs="Wingdings"/>
    </w:rPr>
  </w:style>
  <w:style w:type="character" w:styleId="ListLabel666">
    <w:name w:val="ListLabel 666"/>
    <w:qFormat/>
    <w:rPr>
      <w:rFonts w:cs="Symbol"/>
    </w:rPr>
  </w:style>
  <w:style w:type="character" w:styleId="ListLabel667">
    <w:name w:val="ListLabel 667"/>
    <w:qFormat/>
    <w:rPr>
      <w:rFonts w:cs="Courier New"/>
    </w:rPr>
  </w:style>
  <w:style w:type="character" w:styleId="ListLabel668">
    <w:name w:val="ListLabel 668"/>
    <w:qFormat/>
    <w:rPr>
      <w:rFonts w:cs="Wingdings"/>
    </w:rPr>
  </w:style>
  <w:style w:type="character" w:styleId="ListLabel669">
    <w:name w:val="ListLabel 669"/>
    <w:qFormat/>
    <w:rPr>
      <w:rFonts w:cs="Symbol"/>
      <w:sz w:val="24"/>
    </w:rPr>
  </w:style>
  <w:style w:type="character" w:styleId="ListLabel670">
    <w:name w:val="ListLabel 670"/>
    <w:qFormat/>
    <w:rPr>
      <w:rFonts w:cs="Courier New"/>
    </w:rPr>
  </w:style>
  <w:style w:type="character" w:styleId="ListLabel671">
    <w:name w:val="ListLabel 671"/>
    <w:qFormat/>
    <w:rPr>
      <w:rFonts w:cs="Wingdings"/>
    </w:rPr>
  </w:style>
  <w:style w:type="character" w:styleId="ListLabel672">
    <w:name w:val="ListLabel 672"/>
    <w:qFormat/>
    <w:rPr>
      <w:rFonts w:cs="Symbol"/>
    </w:rPr>
  </w:style>
  <w:style w:type="character" w:styleId="ListLabel673">
    <w:name w:val="ListLabel 673"/>
    <w:qFormat/>
    <w:rPr>
      <w:rFonts w:cs="Courier New"/>
    </w:rPr>
  </w:style>
  <w:style w:type="character" w:styleId="ListLabel674">
    <w:name w:val="ListLabel 674"/>
    <w:qFormat/>
    <w:rPr>
      <w:rFonts w:cs="Wingdings"/>
    </w:rPr>
  </w:style>
  <w:style w:type="character" w:styleId="ListLabel675">
    <w:name w:val="ListLabel 675"/>
    <w:qFormat/>
    <w:rPr>
      <w:rFonts w:cs="Symbol"/>
    </w:rPr>
  </w:style>
  <w:style w:type="character" w:styleId="ListLabel676">
    <w:name w:val="ListLabel 676"/>
    <w:qFormat/>
    <w:rPr>
      <w:rFonts w:cs="Courier New"/>
    </w:rPr>
  </w:style>
  <w:style w:type="character" w:styleId="ListLabel677">
    <w:name w:val="ListLabel 677"/>
    <w:qFormat/>
    <w:rPr>
      <w:rFonts w:cs="Wingdings"/>
    </w:rPr>
  </w:style>
  <w:style w:type="character" w:styleId="ListLabel678">
    <w:name w:val="ListLabel 678"/>
    <w:qFormat/>
    <w:rPr>
      <w:b/>
      <w:sz w:val="28"/>
    </w:rPr>
  </w:style>
  <w:style w:type="character" w:styleId="ListLabel679">
    <w:name w:val="ListLabel 679"/>
    <w:qFormat/>
    <w:rPr>
      <w:b/>
    </w:rPr>
  </w:style>
  <w:style w:type="character" w:styleId="ListLabel680">
    <w:name w:val="ListLabel 680"/>
    <w:qFormat/>
    <w:rPr>
      <w:b/>
    </w:rPr>
  </w:style>
  <w:style w:type="character" w:styleId="ListLabel681">
    <w:name w:val="ListLabel 681"/>
    <w:qFormat/>
    <w:rPr>
      <w:b w:val="false"/>
    </w:rPr>
  </w:style>
  <w:style w:type="character" w:styleId="ListLabel682">
    <w:name w:val="ListLabel 682"/>
    <w:qFormat/>
    <w:rPr>
      <w:b w:val="false"/>
    </w:rPr>
  </w:style>
  <w:style w:type="character" w:styleId="ListLabel683">
    <w:name w:val="ListLabel 683"/>
    <w:qFormat/>
    <w:rPr>
      <w:b w:val="false"/>
    </w:rPr>
  </w:style>
  <w:style w:type="character" w:styleId="ListLabel684">
    <w:name w:val="ListLabel 684"/>
    <w:qFormat/>
    <w:rPr>
      <w:b w:val="false"/>
    </w:rPr>
  </w:style>
  <w:style w:type="character" w:styleId="ListLabel685">
    <w:name w:val="ListLabel 685"/>
    <w:qFormat/>
    <w:rPr>
      <w:b w:val="false"/>
    </w:rPr>
  </w:style>
  <w:style w:type="character" w:styleId="ListLabel686">
    <w:name w:val="ListLabel 686"/>
    <w:qFormat/>
    <w:rPr>
      <w:b w:val="false"/>
    </w:rPr>
  </w:style>
  <w:style w:type="character" w:styleId="ListLabel687">
    <w:name w:val="ListLabel 687"/>
    <w:qFormat/>
    <w:rPr>
      <w:rFonts w:ascii="Times New Roman" w:hAnsi="Times New Roman" w:cs="Symbol"/>
      <w:sz w:val="24"/>
    </w:rPr>
  </w:style>
  <w:style w:type="character" w:styleId="ListLabel688">
    <w:name w:val="ListLabel 688"/>
    <w:qFormat/>
    <w:rPr>
      <w:rFonts w:cs="Courier New"/>
    </w:rPr>
  </w:style>
  <w:style w:type="character" w:styleId="ListLabel689">
    <w:name w:val="ListLabel 689"/>
    <w:qFormat/>
    <w:rPr>
      <w:rFonts w:cs="Wingdings"/>
    </w:rPr>
  </w:style>
  <w:style w:type="character" w:styleId="ListLabel690">
    <w:name w:val="ListLabel 690"/>
    <w:qFormat/>
    <w:rPr>
      <w:rFonts w:cs="Symbol"/>
    </w:rPr>
  </w:style>
  <w:style w:type="character" w:styleId="ListLabel691">
    <w:name w:val="ListLabel 691"/>
    <w:qFormat/>
    <w:rPr>
      <w:rFonts w:cs="Courier New"/>
    </w:rPr>
  </w:style>
  <w:style w:type="character" w:styleId="ListLabel692">
    <w:name w:val="ListLabel 692"/>
    <w:qFormat/>
    <w:rPr>
      <w:rFonts w:cs="Wingdings"/>
    </w:rPr>
  </w:style>
  <w:style w:type="character" w:styleId="ListLabel693">
    <w:name w:val="ListLabel 693"/>
    <w:qFormat/>
    <w:rPr>
      <w:rFonts w:cs="Symbol"/>
    </w:rPr>
  </w:style>
  <w:style w:type="character" w:styleId="ListLabel694">
    <w:name w:val="ListLabel 694"/>
    <w:qFormat/>
    <w:rPr>
      <w:rFonts w:cs="Courier New"/>
    </w:rPr>
  </w:style>
  <w:style w:type="character" w:styleId="ListLabel695">
    <w:name w:val="ListLabel 695"/>
    <w:qFormat/>
    <w:rPr>
      <w:rFonts w:cs="Wingdings"/>
    </w:rPr>
  </w:style>
  <w:style w:type="character" w:styleId="ListLabel696">
    <w:name w:val="ListLabel 696"/>
    <w:qFormat/>
    <w:rPr>
      <w:rFonts w:cs="Symbol"/>
      <w:sz w:val="24"/>
    </w:rPr>
  </w:style>
  <w:style w:type="character" w:styleId="ListLabel697">
    <w:name w:val="ListLabel 697"/>
    <w:qFormat/>
    <w:rPr>
      <w:rFonts w:cs="Courier New"/>
    </w:rPr>
  </w:style>
  <w:style w:type="character" w:styleId="ListLabel698">
    <w:name w:val="ListLabel 698"/>
    <w:qFormat/>
    <w:rPr>
      <w:rFonts w:cs="Wingdings"/>
    </w:rPr>
  </w:style>
  <w:style w:type="character" w:styleId="ListLabel699">
    <w:name w:val="ListLabel 699"/>
    <w:qFormat/>
    <w:rPr>
      <w:rFonts w:cs="Symbol"/>
    </w:rPr>
  </w:style>
  <w:style w:type="character" w:styleId="ListLabel700">
    <w:name w:val="ListLabel 700"/>
    <w:qFormat/>
    <w:rPr>
      <w:rFonts w:cs="Courier New"/>
    </w:rPr>
  </w:style>
  <w:style w:type="character" w:styleId="ListLabel701">
    <w:name w:val="ListLabel 701"/>
    <w:qFormat/>
    <w:rPr>
      <w:rFonts w:cs="Wingdings"/>
    </w:rPr>
  </w:style>
  <w:style w:type="character" w:styleId="ListLabel702">
    <w:name w:val="ListLabel 702"/>
    <w:qFormat/>
    <w:rPr>
      <w:rFonts w:cs="Symbol"/>
    </w:rPr>
  </w:style>
  <w:style w:type="character" w:styleId="ListLabel703">
    <w:name w:val="ListLabel 703"/>
    <w:qFormat/>
    <w:rPr>
      <w:rFonts w:cs="Courier New"/>
    </w:rPr>
  </w:style>
  <w:style w:type="character" w:styleId="ListLabel704">
    <w:name w:val="ListLabel 704"/>
    <w:qFormat/>
    <w:rPr>
      <w:rFonts w:cs="Wingdings"/>
    </w:rPr>
  </w:style>
  <w:style w:type="character" w:styleId="ListLabel705">
    <w:name w:val="ListLabel 705"/>
    <w:qFormat/>
    <w:rPr>
      <w:b/>
      <w:sz w:val="28"/>
    </w:rPr>
  </w:style>
  <w:style w:type="character" w:styleId="ListLabel706">
    <w:name w:val="ListLabel 706"/>
    <w:qFormat/>
    <w:rPr>
      <w:b/>
    </w:rPr>
  </w:style>
  <w:style w:type="character" w:styleId="ListLabel707">
    <w:name w:val="ListLabel 707"/>
    <w:qFormat/>
    <w:rPr>
      <w:b/>
    </w:rPr>
  </w:style>
  <w:style w:type="character" w:styleId="ListLabel708">
    <w:name w:val="ListLabel 708"/>
    <w:qFormat/>
    <w:rPr>
      <w:b w:val="false"/>
    </w:rPr>
  </w:style>
  <w:style w:type="character" w:styleId="ListLabel709">
    <w:name w:val="ListLabel 709"/>
    <w:qFormat/>
    <w:rPr>
      <w:b w:val="false"/>
    </w:rPr>
  </w:style>
  <w:style w:type="character" w:styleId="ListLabel710">
    <w:name w:val="ListLabel 710"/>
    <w:qFormat/>
    <w:rPr>
      <w:b w:val="false"/>
    </w:rPr>
  </w:style>
  <w:style w:type="character" w:styleId="ListLabel711">
    <w:name w:val="ListLabel 711"/>
    <w:qFormat/>
    <w:rPr>
      <w:b w:val="false"/>
    </w:rPr>
  </w:style>
  <w:style w:type="character" w:styleId="ListLabel712">
    <w:name w:val="ListLabel 712"/>
    <w:qFormat/>
    <w:rPr>
      <w:b w:val="false"/>
    </w:rPr>
  </w:style>
  <w:style w:type="character" w:styleId="ListLabel713">
    <w:name w:val="ListLabel 713"/>
    <w:qFormat/>
    <w:rPr>
      <w:b w:val="false"/>
    </w:rPr>
  </w:style>
  <w:style w:type="character" w:styleId="ListLabel714">
    <w:name w:val="ListLabel 714"/>
    <w:qFormat/>
    <w:rPr>
      <w:rFonts w:ascii="Times New Roman" w:hAnsi="Times New Roman" w:cs="Symbol"/>
      <w:sz w:val="24"/>
    </w:rPr>
  </w:style>
  <w:style w:type="character" w:styleId="ListLabel715">
    <w:name w:val="ListLabel 715"/>
    <w:qFormat/>
    <w:rPr>
      <w:rFonts w:cs="Courier New"/>
    </w:rPr>
  </w:style>
  <w:style w:type="character" w:styleId="ListLabel716">
    <w:name w:val="ListLabel 716"/>
    <w:qFormat/>
    <w:rPr>
      <w:rFonts w:cs="Wingdings"/>
    </w:rPr>
  </w:style>
  <w:style w:type="character" w:styleId="ListLabel717">
    <w:name w:val="ListLabel 717"/>
    <w:qFormat/>
    <w:rPr>
      <w:rFonts w:cs="Symbol"/>
    </w:rPr>
  </w:style>
  <w:style w:type="character" w:styleId="ListLabel718">
    <w:name w:val="ListLabel 718"/>
    <w:qFormat/>
    <w:rPr>
      <w:rFonts w:cs="Courier New"/>
    </w:rPr>
  </w:style>
  <w:style w:type="character" w:styleId="ListLabel719">
    <w:name w:val="ListLabel 719"/>
    <w:qFormat/>
    <w:rPr>
      <w:rFonts w:cs="Wingdings"/>
    </w:rPr>
  </w:style>
  <w:style w:type="character" w:styleId="ListLabel720">
    <w:name w:val="ListLabel 720"/>
    <w:qFormat/>
    <w:rPr>
      <w:rFonts w:cs="Symbol"/>
    </w:rPr>
  </w:style>
  <w:style w:type="character" w:styleId="ListLabel721">
    <w:name w:val="ListLabel 721"/>
    <w:qFormat/>
    <w:rPr>
      <w:rFonts w:cs="Courier New"/>
    </w:rPr>
  </w:style>
  <w:style w:type="character" w:styleId="ListLabel722">
    <w:name w:val="ListLabel 722"/>
    <w:qFormat/>
    <w:rPr>
      <w:rFonts w:cs="Wingdings"/>
    </w:rPr>
  </w:style>
  <w:style w:type="character" w:styleId="ListLabel723">
    <w:name w:val="ListLabel 723"/>
    <w:qFormat/>
    <w:rPr>
      <w:rFonts w:cs="Symbol"/>
      <w:sz w:val="24"/>
    </w:rPr>
  </w:style>
  <w:style w:type="character" w:styleId="ListLabel724">
    <w:name w:val="ListLabel 724"/>
    <w:qFormat/>
    <w:rPr>
      <w:rFonts w:cs="Courier New"/>
    </w:rPr>
  </w:style>
  <w:style w:type="character" w:styleId="ListLabel725">
    <w:name w:val="ListLabel 725"/>
    <w:qFormat/>
    <w:rPr>
      <w:rFonts w:cs="Wingdings"/>
    </w:rPr>
  </w:style>
  <w:style w:type="character" w:styleId="ListLabel726">
    <w:name w:val="ListLabel 726"/>
    <w:qFormat/>
    <w:rPr>
      <w:rFonts w:cs="Symbol"/>
    </w:rPr>
  </w:style>
  <w:style w:type="character" w:styleId="ListLabel727">
    <w:name w:val="ListLabel 727"/>
    <w:qFormat/>
    <w:rPr>
      <w:rFonts w:cs="Courier New"/>
    </w:rPr>
  </w:style>
  <w:style w:type="character" w:styleId="ListLabel728">
    <w:name w:val="ListLabel 728"/>
    <w:qFormat/>
    <w:rPr>
      <w:rFonts w:cs="Wingdings"/>
    </w:rPr>
  </w:style>
  <w:style w:type="character" w:styleId="ListLabel729">
    <w:name w:val="ListLabel 729"/>
    <w:qFormat/>
    <w:rPr>
      <w:rFonts w:cs="Symbol"/>
    </w:rPr>
  </w:style>
  <w:style w:type="character" w:styleId="ListLabel730">
    <w:name w:val="ListLabel 730"/>
    <w:qFormat/>
    <w:rPr>
      <w:rFonts w:cs="Courier New"/>
    </w:rPr>
  </w:style>
  <w:style w:type="character" w:styleId="ListLabel731">
    <w:name w:val="ListLabel 731"/>
    <w:qFormat/>
    <w:rPr>
      <w:rFonts w:cs="Wingdings"/>
    </w:rPr>
  </w:style>
  <w:style w:type="paragraph" w:styleId="Style26">
    <w:name w:val="Заголовок"/>
    <w:basedOn w:val="Normal"/>
    <w:next w:val="Style27"/>
    <w:qFormat/>
    <w:pPr>
      <w:keepNext w:val="true"/>
      <w:spacing w:before="240" w:after="120"/>
    </w:pPr>
    <w:rPr>
      <w:rFonts w:ascii="Liberation Sans" w:hAnsi="Liberation Sans" w:eastAsia="Tahoma" w:cs="Lohit Devanagari"/>
      <w:sz w:val="28"/>
      <w:szCs w:val="28"/>
    </w:rPr>
  </w:style>
  <w:style w:type="paragraph" w:styleId="Style27">
    <w:name w:val="Body Text"/>
    <w:basedOn w:val="Normal"/>
    <w:pPr>
      <w:spacing w:lineRule="auto" w:line="240" w:before="0" w:after="120"/>
    </w:pPr>
    <w:rPr>
      <w:rFonts w:ascii="Times New Roman" w:hAnsi="Times New Roman" w:eastAsia="Times New Roman" w:cs="Times New Roman"/>
      <w:sz w:val="28"/>
      <w:szCs w:val="28"/>
      <w:lang w:val="x-none" w:eastAsia="x-none"/>
    </w:rPr>
  </w:style>
  <w:style w:type="paragraph" w:styleId="Style28">
    <w:name w:val="List"/>
    <w:basedOn w:val="Style27"/>
    <w:pPr/>
    <w:rPr>
      <w:rFonts w:cs="Lohit Devanagari"/>
    </w:rPr>
  </w:style>
  <w:style w:type="paragraph" w:styleId="Style29">
    <w:name w:val="Caption"/>
    <w:basedOn w:val="Normal"/>
    <w:qFormat/>
    <w:pPr>
      <w:suppressLineNumbers/>
      <w:spacing w:before="120" w:after="120"/>
    </w:pPr>
    <w:rPr>
      <w:rFonts w:cs="Lohit Devanagari"/>
      <w:i/>
      <w:iCs/>
      <w:sz w:val="24"/>
      <w:szCs w:val="24"/>
    </w:rPr>
  </w:style>
  <w:style w:type="paragraph" w:styleId="Style30">
    <w:name w:val="Указатель"/>
    <w:basedOn w:val="Normal"/>
    <w:qFormat/>
    <w:pPr>
      <w:suppressLineNumbers/>
    </w:pPr>
    <w:rPr>
      <w:rFonts w:cs="Lohit Devanagari"/>
    </w:rPr>
  </w:style>
  <w:style w:type="paragraph" w:styleId="Style31">
    <w:name w:val="Title"/>
    <w:basedOn w:val="Normal"/>
    <w:qFormat/>
    <w:pPr>
      <w:keepNext w:val="true"/>
      <w:spacing w:before="240" w:after="120"/>
    </w:pPr>
    <w:rPr>
      <w:rFonts w:ascii="Liberation Sans" w:hAnsi="Liberation Sans" w:eastAsia="Tahoma" w:cs="Lohit Devanagari"/>
      <w:sz w:val="28"/>
      <w:szCs w:val="28"/>
    </w:rPr>
  </w:style>
  <w:style w:type="paragraph" w:styleId="Caption">
    <w:name w:val="caption"/>
    <w:basedOn w:val="Normal"/>
    <w:qFormat/>
    <w:pPr>
      <w:suppressLineNumbers/>
      <w:spacing w:before="120" w:after="120"/>
    </w:pPr>
    <w:rPr>
      <w:rFonts w:cs="Lohit Devanagari"/>
      <w:i/>
      <w:iCs/>
      <w:sz w:val="24"/>
      <w:szCs w:val="24"/>
    </w:rPr>
  </w:style>
  <w:style w:type="paragraph" w:styleId="Indexheading">
    <w:name w:val="index heading"/>
    <w:basedOn w:val="Normal"/>
    <w:qFormat/>
    <w:pPr>
      <w:suppressLineNumbers/>
    </w:pPr>
    <w:rPr>
      <w:rFonts w:cs="Lohit Devanagari"/>
    </w:rPr>
  </w:style>
  <w:style w:type="paragraph" w:styleId="Style32">
    <w:name w:val="Header"/>
    <w:basedOn w:val="Normal"/>
    <w:unhideWhenUsed/>
    <w:pPr>
      <w:tabs>
        <w:tab w:val="center" w:pos="4677" w:leader="none"/>
        <w:tab w:val="right" w:pos="9355" w:leader="none"/>
      </w:tabs>
      <w:spacing w:lineRule="auto" w:line="240" w:before="0" w:after="0"/>
    </w:pPr>
    <w:rPr/>
  </w:style>
  <w:style w:type="paragraph" w:styleId="Style33">
    <w:name w:val="Footer"/>
    <w:basedOn w:val="Normal"/>
    <w:uiPriority w:val="99"/>
    <w:unhideWhenUsed/>
    <w:pPr>
      <w:tabs>
        <w:tab w:val="center" w:pos="4677" w:leader="none"/>
        <w:tab w:val="right" w:pos="9355" w:leader="none"/>
      </w:tabs>
      <w:spacing w:lineRule="auto" w:line="240" w:before="0" w:after="0"/>
    </w:pPr>
    <w:rPr/>
  </w:style>
  <w:style w:type="paragraph" w:styleId="Annotationtext">
    <w:name w:val="annotation text"/>
    <w:basedOn w:val="Normal"/>
    <w:uiPriority w:val="99"/>
    <w:unhideWhenUsed/>
    <w:qFormat/>
    <w:pPr>
      <w:spacing w:lineRule="auto" w:line="240"/>
    </w:pPr>
    <w:rPr>
      <w:sz w:val="20"/>
      <w:szCs w:val="20"/>
    </w:rPr>
  </w:style>
  <w:style w:type="paragraph" w:styleId="Annotationsubject">
    <w:name w:val="annotation subject"/>
    <w:basedOn w:val="Annotationtext"/>
    <w:uiPriority w:val="99"/>
    <w:semiHidden/>
    <w:unhideWhenUsed/>
    <w:qFormat/>
    <w:pPr/>
    <w:rPr>
      <w:b/>
      <w:bCs/>
    </w:rPr>
  </w:style>
  <w:style w:type="paragraph" w:styleId="BalloonText">
    <w:name w:val="Balloon Text"/>
    <w:basedOn w:val="Normal"/>
    <w:uiPriority w:val="99"/>
    <w:semiHidden/>
    <w:unhideWhenUsed/>
    <w:qFormat/>
    <w:pPr>
      <w:spacing w:lineRule="auto" w:line="240" w:before="0" w:after="0"/>
    </w:pPr>
    <w:rPr>
      <w:rFonts w:ascii="Segoe UI" w:hAnsi="Segoe UI" w:cs="Segoe UI"/>
      <w:sz w:val="18"/>
      <w:szCs w:val="18"/>
    </w:rPr>
  </w:style>
  <w:style w:type="paragraph" w:styleId="Footnotetext">
    <w:name w:val="footnote text"/>
    <w:basedOn w:val="Normal"/>
    <w:uiPriority w:val="99"/>
    <w:qFormat/>
    <w:pPr>
      <w:spacing w:lineRule="auto" w:line="240" w:before="0" w:after="0"/>
    </w:pPr>
    <w:rPr>
      <w:rFonts w:ascii="Times New Roman" w:hAnsi="Times New Roman" w:eastAsia="Times New Roman" w:cs="Times New Roman"/>
      <w:sz w:val="20"/>
      <w:szCs w:val="20"/>
      <w:lang w:eastAsia="ru-RU"/>
    </w:rPr>
  </w:style>
  <w:style w:type="paragraph" w:styleId="21" w:customStyle="1">
    <w:name w:val="Стиль2"/>
    <w:basedOn w:val="Normal"/>
    <w:uiPriority w:val="99"/>
    <w:qFormat/>
    <w:pPr>
      <w:tabs>
        <w:tab w:val="left" w:pos="360" w:leader="none"/>
        <w:tab w:val="left" w:pos="900" w:leader="none"/>
      </w:tabs>
      <w:suppressAutoHyphens w:val="true"/>
      <w:spacing w:lineRule="auto" w:line="240" w:before="0" w:after="0"/>
      <w:jc w:val="both"/>
    </w:pPr>
    <w:rPr>
      <w:rFonts w:ascii="Times New Roman" w:hAnsi="Times New Roman" w:eastAsia="Times New Roman" w:cs="Times New Roman"/>
      <w:sz w:val="24"/>
      <w:szCs w:val="24"/>
      <w:lang w:val="x-none" w:eastAsia="ar-SA"/>
    </w:rPr>
  </w:style>
  <w:style w:type="paragraph" w:styleId="ListParagraph">
    <w:name w:val="List Paragraph"/>
    <w:basedOn w:val="Normal"/>
    <w:qFormat/>
    <w:pPr>
      <w:widowControl w:val="false"/>
      <w:suppressAutoHyphens w:val="true"/>
      <w:spacing w:lineRule="auto" w:line="240" w:before="0" w:after="0"/>
      <w:ind w:left="720" w:hanging="0"/>
    </w:pPr>
    <w:rPr>
      <w:rFonts w:ascii="Times New Roman" w:hAnsi="Times New Roman" w:eastAsia="Times New Roman" w:cs="Times New Roman"/>
      <w:sz w:val="20"/>
      <w:szCs w:val="20"/>
      <w:lang w:val="x-none" w:eastAsia="ar-SA"/>
    </w:rPr>
  </w:style>
  <w:style w:type="paragraph" w:styleId="Endnotetext">
    <w:name w:val="endnote text"/>
    <w:basedOn w:val="Normal"/>
    <w:uiPriority w:val="99"/>
    <w:semiHidden/>
    <w:unhideWhenUsed/>
    <w:qFormat/>
    <w:pPr>
      <w:spacing w:lineRule="auto" w:line="240" w:before="0" w:after="0"/>
    </w:pPr>
    <w:rPr>
      <w:sz w:val="20"/>
      <w:szCs w:val="20"/>
    </w:rPr>
  </w:style>
  <w:style w:type="paragraph" w:styleId="Revision">
    <w:name w:val="Revision"/>
    <w:uiPriority w:val="99"/>
    <w:semiHidden/>
    <w:qFormat/>
    <w:pPr>
      <w:widowControl/>
      <w:bidi w:val="0"/>
      <w:jc w:val="left"/>
    </w:pPr>
    <w:rPr>
      <w:rFonts w:ascii="Calibri" w:hAnsi="Calibri" w:eastAsia="Calibri" w:cs=""/>
      <w:color w:val="00000A"/>
      <w:sz w:val="22"/>
      <w:szCs w:val="22"/>
      <w:lang w:val="ru-RU" w:eastAsia="en-US" w:bidi="ar-SA"/>
    </w:rPr>
  </w:style>
  <w:style w:type="paragraph" w:styleId="Style34" w:customStyle="1">
    <w:name w:val="Таблица"/>
    <w:basedOn w:val="Normal"/>
    <w:qFormat/>
    <w:rsid w:val="00bd11ad"/>
    <w:pPr>
      <w:spacing w:lineRule="auto" w:line="240" w:before="0" w:after="0"/>
    </w:pPr>
    <w:rPr>
      <w:rFonts w:ascii="Times New Roman" w:hAnsi="Times New Roman" w:eastAsia="Times New Roman" w:cs="Times New Roman"/>
      <w:sz w:val="20"/>
      <w:szCs w:val="20"/>
      <w:lang w:eastAsia="ru-RU"/>
    </w:rPr>
  </w:style>
  <w:style w:type="paragraph" w:styleId="Formattext" w:customStyle="1">
    <w:name w:val="formattext"/>
    <w:basedOn w:val="Normal"/>
    <w:qFormat/>
    <w:rsid w:val="009c08f7"/>
    <w:pPr>
      <w:spacing w:lineRule="auto" w:line="240" w:beforeAutospacing="1" w:afterAutospacing="1"/>
    </w:pPr>
    <w:rPr>
      <w:rFonts w:ascii="Times New Roman" w:hAnsi="Times New Roman" w:eastAsia="Times New Roman" w:cs="Times New Roman"/>
      <w:sz w:val="24"/>
      <w:szCs w:val="24"/>
      <w:lang w:eastAsia="ru-RU"/>
    </w:rPr>
  </w:style>
  <w:style w:type="paragraph" w:styleId="Style35" w:customStyle="1">
    <w:name w:val="Таблица шапка"/>
    <w:basedOn w:val="Normal"/>
    <w:qFormat/>
    <w:rsid w:val="009874ed"/>
    <w:pPr>
      <w:keepNext w:val="true"/>
      <w:spacing w:lineRule="auto" w:line="240" w:before="40" w:after="40"/>
      <w:ind w:left="57" w:right="57" w:hanging="0"/>
    </w:pPr>
    <w:rPr>
      <w:rFonts w:ascii="Times New Roman" w:hAnsi="Times New Roman" w:eastAsia="Times New Roman" w:cs="Times New Roman"/>
      <w:szCs w:val="26"/>
      <w:lang w:eastAsia="ru-RU"/>
    </w:rPr>
  </w:style>
  <w:style w:type="paragraph" w:styleId="Style36" w:customStyle="1">
    <w:name w:val="Раздел положения"/>
    <w:basedOn w:val="Normal"/>
    <w:autoRedefine/>
    <w:qFormat/>
    <w:rsid w:val="00a61b8e"/>
    <w:pPr>
      <w:spacing w:lineRule="auto" w:line="240" w:before="80" w:after="80"/>
      <w:jc w:val="center"/>
    </w:pPr>
    <w:rPr>
      <w:rFonts w:ascii="Times New Roman" w:hAnsi="Times New Roman" w:eastAsia="Times New Roman" w:cs="Times New Roman"/>
      <w:b/>
      <w:sz w:val="32"/>
      <w:szCs w:val="32"/>
      <w:lang w:eastAsia="ru-RU"/>
    </w:rPr>
  </w:style>
  <w:style w:type="paragraph" w:styleId="Style37" w:customStyle="1">
    <w:name w:val="Подраздел раздела положения"/>
    <w:basedOn w:val="Normal"/>
    <w:autoRedefine/>
    <w:qFormat/>
    <w:rsid w:val="00a61b8e"/>
    <w:pPr>
      <w:spacing w:lineRule="auto" w:line="240" w:before="80" w:after="80"/>
      <w:jc w:val="both"/>
    </w:pPr>
    <w:rPr>
      <w:rFonts w:ascii="Times New Roman" w:hAnsi="Times New Roman" w:eastAsia="Times New Roman" w:cs="Times New Roman"/>
      <w:sz w:val="28"/>
      <w:szCs w:val="28"/>
      <w:lang w:eastAsia="ru-RU"/>
    </w:rPr>
  </w:style>
  <w:style w:type="paragraph" w:styleId="BodyTextIndent3">
    <w:name w:val="Body Text Indent 3"/>
    <w:basedOn w:val="Normal"/>
    <w:qFormat/>
    <w:rsid w:val="00a61b8e"/>
    <w:pPr>
      <w:spacing w:lineRule="auto" w:line="240" w:before="0" w:after="120"/>
      <w:ind w:left="283" w:hanging="0"/>
    </w:pPr>
    <w:rPr>
      <w:rFonts w:ascii="Times New Roman" w:hAnsi="Times New Roman" w:eastAsia="Times New Roman" w:cs="Times New Roman"/>
      <w:sz w:val="16"/>
      <w:szCs w:val="16"/>
      <w:lang w:eastAsia="ru-RU"/>
    </w:rPr>
  </w:style>
  <w:style w:type="paragraph" w:styleId="12">
    <w:name w:val="TOC 1"/>
    <w:basedOn w:val="Normal"/>
    <w:autoRedefine/>
    <w:uiPriority w:val="39"/>
    <w:rsid w:val="00bc703b"/>
    <w:pPr>
      <w:spacing w:lineRule="auto" w:line="240" w:before="120" w:after="0"/>
    </w:pPr>
    <w:rPr>
      <w:rFonts w:ascii="Times New Roman" w:hAnsi="Times New Roman" w:eastAsia="Times New Roman" w:cs="Calibri Light (Заголовки)"/>
      <w:b/>
      <w:bCs/>
      <w:sz w:val="24"/>
      <w:szCs w:val="24"/>
      <w:lang w:eastAsia="ru-RU"/>
    </w:rPr>
  </w:style>
  <w:style w:type="paragraph" w:styleId="31">
    <w:name w:val="TOC 3"/>
    <w:basedOn w:val="Normal"/>
    <w:autoRedefine/>
    <w:uiPriority w:val="39"/>
    <w:rsid w:val="00bc703b"/>
    <w:pPr>
      <w:spacing w:lineRule="auto" w:line="240" w:before="0" w:after="0"/>
      <w:ind w:left="280" w:hanging="0"/>
    </w:pPr>
    <w:rPr>
      <w:rFonts w:ascii="Times New Roman" w:hAnsi="Times New Roman" w:eastAsia="Times New Roman" w:cs="Calibri" w:cstheme="minorHAnsi"/>
      <w:sz w:val="20"/>
      <w:szCs w:val="20"/>
      <w:lang w:eastAsia="ru-RU"/>
    </w:rPr>
  </w:style>
  <w:style w:type="paragraph" w:styleId="42">
    <w:name w:val="TOC 4"/>
    <w:basedOn w:val="Normal"/>
    <w:autoRedefine/>
    <w:uiPriority w:val="39"/>
    <w:rsid w:val="00bc703b"/>
    <w:pPr>
      <w:spacing w:lineRule="auto" w:line="240" w:before="0" w:after="0"/>
      <w:ind w:left="560" w:hanging="0"/>
    </w:pPr>
    <w:rPr>
      <w:rFonts w:ascii="Times New Roman" w:hAnsi="Times New Roman" w:eastAsia="Times New Roman" w:cs="Calibri" w:cstheme="minorHAnsi"/>
      <w:sz w:val="20"/>
      <w:szCs w:val="20"/>
      <w:lang w:eastAsia="ru-RU"/>
    </w:rPr>
  </w:style>
  <w:style w:type="paragraph" w:styleId="NoSpacing">
    <w:name w:val="No Spacing"/>
    <w:basedOn w:val="Normal"/>
    <w:uiPriority w:val="1"/>
    <w:qFormat/>
    <w:rsid w:val="00206d6d"/>
    <w:pPr>
      <w:spacing w:lineRule="auto" w:line="360" w:before="0" w:after="0"/>
    </w:pPr>
    <w:rPr>
      <w:rFonts w:ascii="Times New Roman" w:hAnsi="Times New Roman" w:cs="Times New Roman"/>
      <w:sz w:val="24"/>
      <w:szCs w:val="24"/>
      <w:lang w:eastAsia="ru-RU"/>
    </w:rPr>
  </w:style>
  <w:style w:type="paragraph" w:styleId="Style81" w:customStyle="1">
    <w:name w:val="Style8"/>
    <w:basedOn w:val="Normal"/>
    <w:qFormat/>
    <w:rsid w:val="00701de7"/>
    <w:pPr>
      <w:widowControl w:val="false"/>
      <w:spacing w:lineRule="exact" w:line="298" w:before="0" w:after="0"/>
      <w:jc w:val="both"/>
    </w:pPr>
    <w:rPr>
      <w:rFonts w:ascii="Times New Roman" w:hAnsi="Times New Roman" w:eastAsia="Times New Roman" w:cs="Times New Roman"/>
      <w:sz w:val="24"/>
      <w:szCs w:val="24"/>
      <w:lang w:eastAsia="ru-RU"/>
    </w:rPr>
  </w:style>
  <w:style w:type="paragraph" w:styleId="Style38" w:customStyle="1">
    <w:name w:val="Заголовок для сожерж"/>
    <w:basedOn w:val="1"/>
    <w:qFormat/>
    <w:rsid w:val="00c619d9"/>
    <w:pPr>
      <w:jc w:val="left"/>
    </w:pPr>
    <w:rPr>
      <w:b w:val="false"/>
      <w:szCs w:val="24"/>
      <w:lang w:val="ru-RU" w:eastAsia="ru-RU"/>
    </w:rPr>
  </w:style>
  <w:style w:type="paragraph" w:styleId="Standard" w:customStyle="1">
    <w:name w:val="Standard"/>
    <w:qFormat/>
    <w:rsid w:val="00904388"/>
    <w:pPr>
      <w:widowControl/>
      <w:suppressAutoHyphens w:val="true"/>
      <w:bidi w:val="0"/>
      <w:jc w:val="left"/>
      <w:textAlignment w:val="baseline"/>
    </w:pPr>
    <w:rPr>
      <w:rFonts w:ascii="Calibri" w:hAnsi="Calibri" w:eastAsia="Calibri" w:cs="Tahoma"/>
      <w:color w:val="00000A"/>
      <w:sz w:val="22"/>
      <w:szCs w:val="22"/>
      <w:lang w:val="ru-RU" w:eastAsia="en-US" w:bidi="ar-SA"/>
    </w:rPr>
  </w:style>
  <w:style w:type="paragraph" w:styleId="EndnoteSymbol" w:customStyle="1">
    <w:name w:val="Endnote Symbol"/>
    <w:basedOn w:val="Standard"/>
    <w:qFormat/>
    <w:rsid w:val="00904388"/>
    <w:pPr/>
    <w:rPr>
      <w:sz w:val="20"/>
      <w:szCs w:val="20"/>
    </w:rPr>
  </w:style>
  <w:style w:type="paragraph" w:styleId="NormalWeb">
    <w:name w:val="Normal (Web)"/>
    <w:basedOn w:val="Normal"/>
    <w:uiPriority w:val="99"/>
    <w:semiHidden/>
    <w:unhideWhenUsed/>
    <w:qFormat/>
    <w:rsid w:val="004019ad"/>
    <w:pPr>
      <w:spacing w:lineRule="auto" w:line="240" w:beforeAutospacing="1" w:after="119"/>
    </w:pPr>
    <w:rPr>
      <w:rFonts w:ascii="Times New Roman" w:hAnsi="Times New Roman" w:eastAsia="Times New Roman" w:cs="Times New Roman"/>
      <w:sz w:val="24"/>
      <w:szCs w:val="24"/>
      <w:lang w:eastAsia="ru-RU"/>
    </w:rPr>
  </w:style>
  <w:style w:type="paragraph" w:styleId="Toaheading">
    <w:name w:val="toa heading"/>
    <w:basedOn w:val="Style31"/>
    <w:qFormat/>
    <w:pPr/>
    <w:rPr/>
  </w:style>
  <w:style w:type="paragraph" w:styleId="22">
    <w:name w:val="TOC 2"/>
    <w:basedOn w:val="Normal"/>
    <w:pPr>
      <w:spacing w:before="0" w:after="100"/>
      <w:ind w:left="220" w:hanging="0"/>
    </w:pPr>
    <w:rPr>
      <w:rFonts w:ascii="Times New Roman" w:hAnsi="Times New Roman" w:eastAsia="Times New Roman"/>
      <w:sz w:val="24"/>
      <w:lang w:eastAsia="ru-RU"/>
    </w:rPr>
  </w:style>
  <w:style w:type="paragraph" w:styleId="Style39" w:customStyle="1">
    <w:name w:val="Содержимое врезки"/>
    <w:basedOn w:val="Normal"/>
    <w:qFormat/>
    <w:pPr/>
    <w:rPr/>
  </w:style>
  <w:style w:type="paragraph" w:styleId="Style40" w:customStyle="1">
    <w:name w:val="Содержимое таблицы"/>
    <w:basedOn w:val="Normal"/>
    <w:qFormat/>
    <w:pPr/>
    <w:rPr/>
  </w:style>
  <w:style w:type="paragraph" w:styleId="Style41" w:customStyle="1">
    <w:name w:val="Заголовок таблицы"/>
    <w:basedOn w:val="Style40"/>
    <w:qFormat/>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ffe">
    <w:name w:val="Table Grid"/>
    <w:basedOn w:val="a1"/>
    <w:uiPriority w:val="39"/>
    <w:rsid w:val="00d524dd"/>
    <w:rPr>
      <w:lang w:eastAsia="ru-RU"/>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0">
    <w:name w:val="TableStyle0"/>
    <w:rsid w:val="009d74ff"/>
    <w:rPr>
      <w:rFonts w:eastAsiaTheme="minorEastAsia"/>
      <w:lang w:eastAsia="ru-RU"/>
      <w:sz w:val="16"/>
    </w:rPr>
    <w:tblPr>
      <w:tblCellMar>
        <w:top w:w="0" w:type="dxa"/>
        <w:left w:w="0" w:type="dxa"/>
        <w:bottom w:w="0" w:type="dxa"/>
        <w:right w:w="0" w:type="dxa"/>
      </w:tblCellMar>
    </w:tblPr>
  </w:style>
  <w:style w:type="table" w:customStyle="1" w:styleId="TableStyle1">
    <w:name w:val="TableStyle1"/>
    <w:rsid w:val="009d74ff"/>
    <w:rPr>
      <w:rFonts w:eastAsiaTheme="minorEastAsia"/>
      <w:lang w:eastAsia="ru-RU"/>
      <w:sz w:val="16"/>
    </w:rPr>
    <w:tblPr>
      <w:tblCellMar>
        <w:top w:w="0" w:type="dxa"/>
        <w:left w:w="0" w:type="dxa"/>
        <w:bottom w:w="0" w:type="dxa"/>
        <w:right w:w="0" w:type="dxa"/>
      </w:tblCellMar>
    </w:tblPr>
  </w:style>
  <w:style w:type="table" w:customStyle="1" w:styleId="TableStyle2">
    <w:name w:val="TableStyle2"/>
    <w:rsid w:val="009d74ff"/>
    <w:rPr>
      <w:rFonts w:eastAsiaTheme="minorEastAsia"/>
      <w:lang w:eastAsia="ru-RU"/>
      <w:sz w:val="16"/>
    </w:rPr>
    <w:tblPr>
      <w:tblCellMar>
        <w:top w:w="0" w:type="dxa"/>
        <w:left w:w="0" w:type="dxa"/>
        <w:bottom w:w="0" w:type="dxa"/>
        <w:right w:w="0" w:type="dxa"/>
      </w:tblCellMar>
    </w:tblPr>
  </w:style>
  <w:style w:type="table" w:customStyle="1" w:styleId="TableStyle3">
    <w:name w:val="TableStyle3"/>
    <w:rsid w:val="009d74ff"/>
    <w:rPr>
      <w:rFonts w:eastAsiaTheme="minorEastAsia"/>
      <w:lang w:eastAsia="ru-RU"/>
      <w:sz w:val="16"/>
    </w:rPr>
    <w:tblPr>
      <w:tblCellMar>
        <w:top w:w="0" w:type="dxa"/>
        <w:left w:w="0" w:type="dxa"/>
        <w:bottom w:w="0" w:type="dxa"/>
        <w:right w:w="0" w:type="dxa"/>
      </w:tblCellMar>
    </w:tblPr>
  </w:style>
  <w:style w:type="table" w:customStyle="1" w:styleId="TableStyle4">
    <w:name w:val="TableStyle4"/>
    <w:rsid w:val="009d74ff"/>
    <w:rPr>
      <w:rFonts w:eastAsiaTheme="minorEastAsia"/>
      <w:lang w:eastAsia="ru-RU"/>
      <w:sz w:val="16"/>
    </w:rPr>
    <w:tblPr>
      <w:tblCellMar>
        <w:top w:w="0" w:type="dxa"/>
        <w:left w:w="0" w:type="dxa"/>
        <w:bottom w:w="0" w:type="dxa"/>
        <w:right w:w="0" w:type="dxa"/>
      </w:tblCellMar>
    </w:tblPr>
  </w:style>
  <w:style w:type="table" w:customStyle="1" w:styleId="TableStyle5">
    <w:name w:val="TableStyle5"/>
    <w:rsid w:val="009d74ff"/>
    <w:rPr>
      <w:rFonts w:eastAsiaTheme="minorEastAsia"/>
      <w:lang w:eastAsia="ru-RU"/>
      <w:sz w:val="16"/>
    </w:rPr>
    <w:tblPr>
      <w:tblCellMar>
        <w:top w:w="0" w:type="dxa"/>
        <w:left w:w="0" w:type="dxa"/>
        <w:bottom w:w="0" w:type="dxa"/>
        <w:right w:w="0" w:type="dxa"/>
      </w:tblCellMar>
    </w:tblPr>
  </w:style>
  <w:style w:type="table" w:customStyle="1" w:styleId="TableStyle6">
    <w:name w:val="TableStyle6"/>
    <w:rsid w:val="009d74ff"/>
    <w:rPr>
      <w:rFonts w:eastAsiaTheme="minorEastAsia"/>
      <w:lang w:eastAsia="ru-RU"/>
      <w:sz w:val="16"/>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806D7-EF30-48B7-98A8-F04E9384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Application>LibreOffice/5.3.6.1$Linux_X86_64 LibreOffice_project/30$Build-1</Application>
  <Pages>27</Pages>
  <Words>6754</Words>
  <Characters>47526</Characters>
  <CharactersWithSpaces>53776</CharactersWithSpaces>
  <Paragraphs>670</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2025-09-02T22:51:00Z</dcterms:created>
  <dc:creator>Ромашенков Владимир Викторович</dc:creator>
  <dc:description/>
  <dc:language>ru-RU</dc:language>
  <cp:lastModifiedBy/>
  <cp:lastPrinted>2024-07-18T05:27:00Z</cp:lastPrinted>
  <dcterms:modified xsi:type="dcterms:W3CDTF">2026-02-13T11:44:44Z</dcterms:modified>
  <cp:revision>23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